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5F877FA6" w:rsidR="003148F3" w:rsidRPr="00244700" w:rsidRDefault="00FC335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6E164C">
        <w:rPr>
          <w:sz w:val="22"/>
          <w:szCs w:val="22"/>
        </w:rPr>
        <w:t>2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197B28" w:rsidRPr="002A12A1">
        <w:rPr>
          <w:sz w:val="22"/>
          <w:szCs w:val="22"/>
        </w:rPr>
        <w:t>R</w:t>
      </w:r>
      <w:r w:rsidR="00197B28">
        <w:rPr>
          <w:sz w:val="22"/>
          <w:szCs w:val="22"/>
        </w:rPr>
        <w:t>2</w:t>
      </w:r>
      <w:r w:rsidR="00197B28" w:rsidRPr="002A12A1">
        <w:rPr>
          <w:sz w:val="22"/>
          <w:szCs w:val="22"/>
        </w:rPr>
        <w:t>-</w:t>
      </w:r>
      <w:r w:rsidR="00DA4BC8" w:rsidRPr="00DA4BC8">
        <w:rPr>
          <w:sz w:val="22"/>
          <w:szCs w:val="22"/>
        </w:rPr>
        <w:t>2305890</w:t>
      </w:r>
    </w:p>
    <w:p w14:paraId="0CC79F4E" w14:textId="2F291CC5" w:rsidR="003148F3" w:rsidRPr="00457898" w:rsidRDefault="001D77C0" w:rsidP="00874126">
      <w:pPr>
        <w:pStyle w:val="3GPPHeader"/>
        <w:snapToGrid w:val="0"/>
        <w:jc w:val="left"/>
        <w:rPr>
          <w:sz w:val="22"/>
          <w:szCs w:val="22"/>
        </w:rPr>
      </w:pPr>
      <w:r w:rsidRPr="001D77C0">
        <w:rPr>
          <w:sz w:val="22"/>
          <w:szCs w:val="22"/>
        </w:rPr>
        <w:t>Incheon, Korea, May 22-26,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519A07A1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E64C0B">
        <w:rPr>
          <w:sz w:val="22"/>
          <w:szCs w:val="22"/>
        </w:rPr>
        <w:t>7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3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5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7D95ACD6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E23A54">
        <w:rPr>
          <w:sz w:val="22"/>
          <w:szCs w:val="22"/>
        </w:rPr>
        <w:t>CHO Enhancements Supporting NES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0A4D2014" w14:textId="13C76B52" w:rsidR="00D60563" w:rsidRDefault="00147AF2" w:rsidP="003A093F">
      <w:pPr>
        <w:spacing w:after="240"/>
      </w:pPr>
      <w:bookmarkStart w:id="0" w:name="_Hlk66110521"/>
      <w:r w:rsidRPr="00147AF2">
        <w:t xml:space="preserve">The </w:t>
      </w:r>
      <w:r w:rsidR="00926DD6">
        <w:t xml:space="preserve">NES </w:t>
      </w:r>
      <w:r w:rsidRPr="00147AF2">
        <w:t xml:space="preserve">techniques in time and frequency domains aim to reduce the power consumption by turning off some symbols/slots/frames on one or more carriers, and hence the </w:t>
      </w:r>
      <w:r w:rsidR="00926DD6">
        <w:t>gNB</w:t>
      </w:r>
      <w:r w:rsidRPr="00147AF2">
        <w:t xml:space="preserve"> is allowed to perform some micro/light/deep sleep, depending on the interval between the contiguous active transmission/reception occasions.</w:t>
      </w:r>
      <w:r w:rsidR="00926DD6">
        <w:t xml:space="preserve"> However, these</w:t>
      </w:r>
      <w:r w:rsidR="00926DD6" w:rsidRPr="00926DD6">
        <w:t xml:space="preserve"> </w:t>
      </w:r>
      <w:r w:rsidR="00926DD6">
        <w:t>NES</w:t>
      </w:r>
      <w:r w:rsidR="00926DD6" w:rsidRPr="00926DD6">
        <w:t xml:space="preserve"> techniques may increase the data transfer latency for a connected UE, as allowing a </w:t>
      </w:r>
      <w:r w:rsidR="00926DD6">
        <w:t>gNB</w:t>
      </w:r>
      <w:r w:rsidR="00926DD6" w:rsidRPr="00926DD6">
        <w:t xml:space="preserve"> to sleep means the UE is not always able to communicate with the </w:t>
      </w:r>
      <w:r w:rsidR="000745A7">
        <w:t>gNB</w:t>
      </w:r>
      <w:r w:rsidR="00926DD6" w:rsidRPr="00926DD6">
        <w:t xml:space="preserve">. It is especially intolerable for the UEs having stringent data latency requirement if the </w:t>
      </w:r>
      <w:r w:rsidR="00926DD6">
        <w:t>gNB</w:t>
      </w:r>
      <w:r w:rsidR="00926DD6" w:rsidRPr="00926DD6">
        <w:t xml:space="preserve"> has to sleep for a very long period of time. For those UEs not </w:t>
      </w:r>
      <w:r w:rsidR="00295CCA">
        <w:t>tolerable of</w:t>
      </w:r>
      <w:r w:rsidR="00926DD6" w:rsidRPr="00926DD6">
        <w:t xml:space="preserve"> such </w:t>
      </w:r>
      <w:r w:rsidR="00926DD6">
        <w:t>NES</w:t>
      </w:r>
      <w:r w:rsidR="00926DD6" w:rsidRPr="00926DD6">
        <w:t xml:space="preserve"> techniques, it is important to handover the UEs in time to another </w:t>
      </w:r>
      <w:r w:rsidR="00926DD6">
        <w:t>gNB</w:t>
      </w:r>
      <w:r w:rsidR="00926DD6" w:rsidRPr="00926DD6">
        <w:t xml:space="preserve"> that does not enable these </w:t>
      </w:r>
      <w:r w:rsidR="00926DD6">
        <w:t>NES</w:t>
      </w:r>
      <w:r w:rsidR="00926DD6" w:rsidRPr="00926DD6">
        <w:t xml:space="preserve"> techniques, before the serving </w:t>
      </w:r>
      <w:r w:rsidR="00926DD6">
        <w:t>gNB</w:t>
      </w:r>
      <w:r w:rsidR="00926DD6" w:rsidRPr="00926DD6">
        <w:t xml:space="preserve"> goes to sleep.</w:t>
      </w:r>
      <w:r w:rsidR="00A9372A">
        <w:t xml:space="preserve"> </w:t>
      </w:r>
      <w:r w:rsidR="006C5FF1">
        <w:t>Regarding the CHO enhancements, RAN2 has made the following agreements during the RAN2#121bis_e meeting</w:t>
      </w:r>
      <w:r w:rsidR="00714E7A">
        <w:t xml:space="preserve"> [1]</w:t>
      </w:r>
      <w:r w:rsidR="006C5FF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7C6F" w14:paraId="77FDF953" w14:textId="77777777" w:rsidTr="00976B5B">
        <w:tc>
          <w:tcPr>
            <w:tcW w:w="9350" w:type="dxa"/>
          </w:tcPr>
          <w:p w14:paraId="47BCEA61" w14:textId="48EA5FCA" w:rsidR="00AF7C6F" w:rsidRPr="00360999" w:rsidRDefault="000F710B" w:rsidP="00976B5B">
            <w:pPr>
              <w:spacing w:after="240"/>
              <w:jc w:val="lef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Agreements in RAN2#121bis_e</w:t>
            </w:r>
          </w:p>
          <w:p w14:paraId="05DC1C6D" w14:textId="4A82BC9F" w:rsidR="000F710B" w:rsidRPr="000F710B" w:rsidRDefault="000F710B" w:rsidP="000F710B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>- RAN2 agree to make enhancement in CHO procedure based on that the source cell entering “NES mode”.  FFS further details</w:t>
            </w:r>
          </w:p>
          <w:p w14:paraId="683B46AE" w14:textId="32EF769C" w:rsidR="000F710B" w:rsidRPr="000F710B" w:rsidRDefault="000F710B" w:rsidP="000F710B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>- For source cell CHO framework, RAN2 assumes a reference scenario where the UE has already performed CHO conditions evaluation by the time the source cell starts some “NES-mode”</w:t>
            </w:r>
          </w:p>
          <w:p w14:paraId="31572A49" w14:textId="281021E5" w:rsidR="00AF7C6F" w:rsidRPr="009832A3" w:rsidRDefault="000F710B" w:rsidP="000F710B">
            <w:pPr>
              <w:spacing w:after="0" w:line="276" w:lineRule="auto"/>
              <w:ind w:left="243" w:hanging="90"/>
              <w:jc w:val="left"/>
              <w:rPr>
                <w:i/>
                <w:lang w:eastAsia="zh-TW"/>
              </w:rPr>
            </w:pPr>
            <w:r w:rsidRPr="000F710B">
              <w:rPr>
                <w:lang w:eastAsia="zh-TW"/>
              </w:rPr>
              <w:t>- As a baseline, UE initiates CHO evaluation upon receiving the CHO configuration.  FFS what trigger is used for execution of CHO</w:t>
            </w:r>
          </w:p>
        </w:tc>
      </w:tr>
    </w:tbl>
    <w:p w14:paraId="3CE84B8C" w14:textId="584569A1" w:rsidR="003148F3" w:rsidRPr="00457898" w:rsidRDefault="00F24A60" w:rsidP="00F37692">
      <w:pPr>
        <w:spacing w:before="240" w:after="240"/>
      </w:pPr>
      <w:r>
        <w:rPr>
          <w:szCs w:val="22"/>
        </w:rPr>
        <w:t xml:space="preserve">This paper </w:t>
      </w:r>
      <w:r w:rsidR="00B17D66">
        <w:rPr>
          <w:szCs w:val="22"/>
        </w:rPr>
        <w:t xml:space="preserve">first </w:t>
      </w:r>
      <w:bookmarkEnd w:id="0"/>
      <w:r w:rsidR="006F51EF">
        <w:rPr>
          <w:szCs w:val="22"/>
        </w:rPr>
        <w:t>discuss</w:t>
      </w:r>
      <w:r w:rsidR="004C337C">
        <w:rPr>
          <w:szCs w:val="22"/>
        </w:rPr>
        <w:t xml:space="preserve"> if the existing CHO execution conditions need to be improved or enabled for the NES scenario</w:t>
      </w:r>
      <w:r w:rsidR="00CB0776">
        <w:rPr>
          <w:szCs w:val="22"/>
        </w:rPr>
        <w:t xml:space="preserve">, and </w:t>
      </w:r>
      <w:r w:rsidR="00B058B9">
        <w:rPr>
          <w:szCs w:val="22"/>
        </w:rPr>
        <w:t xml:space="preserve">then </w:t>
      </w:r>
      <w:r w:rsidR="00DA59EB">
        <w:rPr>
          <w:szCs w:val="22"/>
        </w:rPr>
        <w:t>comes out with</w:t>
      </w:r>
      <w:r w:rsidR="00CB0776">
        <w:rPr>
          <w:szCs w:val="22"/>
        </w:rPr>
        <w:t xml:space="preserve"> </w:t>
      </w:r>
      <w:r w:rsidR="004C337C">
        <w:rPr>
          <w:szCs w:val="22"/>
        </w:rPr>
        <w:t>several</w:t>
      </w:r>
      <w:r w:rsidR="000B606F">
        <w:rPr>
          <w:szCs w:val="22"/>
        </w:rPr>
        <w:t xml:space="preserve"> </w:t>
      </w:r>
      <w:r w:rsidR="00E035D5">
        <w:rPr>
          <w:szCs w:val="22"/>
        </w:rPr>
        <w:t>proposals that aim to enhance CHO</w:t>
      </w:r>
      <w:r w:rsidR="00CB0776">
        <w:rPr>
          <w:szCs w:val="22"/>
        </w:rPr>
        <w:t xml:space="preserve"> </w:t>
      </w:r>
      <w:r w:rsidR="004C337C">
        <w:rPr>
          <w:szCs w:val="22"/>
        </w:rPr>
        <w:t xml:space="preserve">based on </w:t>
      </w:r>
      <w:r w:rsidR="005C6A4F">
        <w:rPr>
          <w:szCs w:val="22"/>
        </w:rPr>
        <w:t>the</w:t>
      </w:r>
      <w:r w:rsidR="006C20B0">
        <w:rPr>
          <w:szCs w:val="22"/>
        </w:rPr>
        <w:t xml:space="preserve"> analysis/</w:t>
      </w:r>
      <w:r w:rsidR="004C337C">
        <w:rPr>
          <w:szCs w:val="22"/>
        </w:rPr>
        <w:t>observation</w:t>
      </w:r>
      <w:r w:rsidR="005C6A4F">
        <w:rPr>
          <w:szCs w:val="22"/>
        </w:rPr>
        <w:t xml:space="preserve"> provided in the paper</w:t>
      </w:r>
      <w:r w:rsidR="00166B48">
        <w:rPr>
          <w:szCs w:val="22"/>
        </w:rPr>
        <w:t>.</w:t>
      </w:r>
    </w:p>
    <w:p w14:paraId="72A10812" w14:textId="2744868F" w:rsidR="00672120" w:rsidRPr="00457898" w:rsidRDefault="00672120" w:rsidP="00672120">
      <w:pPr>
        <w:pStyle w:val="Heading1"/>
        <w:snapToGrid w:val="0"/>
        <w:rPr>
          <w:lang w:val="en-US"/>
        </w:rPr>
      </w:pPr>
      <w:r>
        <w:rPr>
          <w:lang w:val="en-US"/>
        </w:rPr>
        <w:t>Discussion</w:t>
      </w:r>
    </w:p>
    <w:p w14:paraId="111D7FE6" w14:textId="072FD88D" w:rsidR="00E96A5C" w:rsidRDefault="00E96A5C" w:rsidP="00D52DB0">
      <w:pPr>
        <w:rPr>
          <w:lang w:eastAsia="zh-TW"/>
        </w:rPr>
      </w:pPr>
      <w:r w:rsidRPr="00E96A5C">
        <w:rPr>
          <w:lang w:eastAsia="zh-TW"/>
        </w:rPr>
        <w:t xml:space="preserve">Regarding the </w:t>
      </w:r>
      <w:r w:rsidR="00F37692">
        <w:rPr>
          <w:lang w:eastAsia="zh-TW"/>
        </w:rPr>
        <w:t>gN</w:t>
      </w:r>
      <w:r w:rsidR="00F26766">
        <w:rPr>
          <w:lang w:eastAsia="zh-TW"/>
        </w:rPr>
        <w:t>B</w:t>
      </w:r>
      <w:r w:rsidRPr="00E96A5C">
        <w:rPr>
          <w:lang w:eastAsia="zh-TW"/>
        </w:rPr>
        <w:t xml:space="preserve"> behaviors during the non-active (i.e., off) period in the cell DTX/DRX mode, there are four possibilities</w:t>
      </w:r>
      <w:r w:rsidR="00032BDC">
        <w:rPr>
          <w:lang w:eastAsia="zh-TW"/>
        </w:rPr>
        <w:t xml:space="preserve"> according to TR 38.864</w:t>
      </w:r>
      <w:r w:rsidR="009342B7">
        <w:rPr>
          <w:lang w:eastAsia="zh-TW"/>
        </w:rPr>
        <w:t xml:space="preserve"> </w:t>
      </w:r>
      <w:r w:rsidR="00032BDC">
        <w:rPr>
          <w:lang w:eastAsia="zh-TW"/>
        </w:rPr>
        <w:t>[2]</w:t>
      </w:r>
      <w:r w:rsidRPr="00E96A5C">
        <w:rPr>
          <w:lang w:eastAsia="zh-TW"/>
        </w:rPr>
        <w:t>:</w:t>
      </w:r>
    </w:p>
    <w:p w14:paraId="2855CC6E" w14:textId="6394D743" w:rsidR="00E96A5C" w:rsidRDefault="00E96A5C" w:rsidP="00846479">
      <w:pPr>
        <w:pStyle w:val="ListParagraph"/>
        <w:numPr>
          <w:ilvl w:val="0"/>
          <w:numId w:val="19"/>
        </w:numPr>
        <w:rPr>
          <w:lang w:eastAsia="zh-TW"/>
        </w:rPr>
      </w:pPr>
      <w:r w:rsidRPr="00E96A5C">
        <w:rPr>
          <w:lang w:eastAsia="zh-TW"/>
        </w:rPr>
        <w:t xml:space="preserve">Example 1: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is expected to turn off all transmission and reception for data traffic and reference signal during Cell DTX/DRX non-active periods</w:t>
      </w:r>
    </w:p>
    <w:p w14:paraId="528F58A4" w14:textId="3A1A73BA" w:rsidR="00E96A5C" w:rsidRDefault="00E96A5C" w:rsidP="00846479">
      <w:pPr>
        <w:pStyle w:val="ListParagraph"/>
        <w:numPr>
          <w:ilvl w:val="0"/>
          <w:numId w:val="19"/>
        </w:numPr>
        <w:rPr>
          <w:lang w:eastAsia="zh-TW"/>
        </w:rPr>
      </w:pPr>
      <w:r w:rsidRPr="00E96A5C">
        <w:rPr>
          <w:lang w:eastAsia="zh-TW"/>
        </w:rPr>
        <w:t xml:space="preserve">Example 2: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is expected to turn off its transmission/reception only for data traffic during Cell DTX/DRX non-active periods (i.e.,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will still transmit/receive reference signals)</w:t>
      </w:r>
    </w:p>
    <w:p w14:paraId="32267954" w14:textId="146483B2" w:rsidR="00E96A5C" w:rsidRDefault="00E96A5C" w:rsidP="00846479">
      <w:pPr>
        <w:pStyle w:val="ListParagraph"/>
        <w:numPr>
          <w:ilvl w:val="0"/>
          <w:numId w:val="19"/>
        </w:numPr>
        <w:rPr>
          <w:lang w:eastAsia="zh-TW"/>
        </w:rPr>
      </w:pPr>
      <w:r w:rsidRPr="00E96A5C">
        <w:rPr>
          <w:lang w:eastAsia="zh-TW"/>
        </w:rPr>
        <w:t xml:space="preserve">Example 3: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is expected to turn off its dynamic data transmission/reception during Cell DTX/DRX non-active periods (i.e.,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is expected to still perform transmission/reception in periodic resources, including SPS, CG-PUSCH, SR, RACH, and SRS)</w:t>
      </w:r>
    </w:p>
    <w:p w14:paraId="095512B5" w14:textId="4F58D4BE" w:rsidR="00E96A5C" w:rsidRPr="00E96A5C" w:rsidRDefault="00E96A5C" w:rsidP="00846479">
      <w:pPr>
        <w:pStyle w:val="ListParagraph"/>
        <w:numPr>
          <w:ilvl w:val="0"/>
          <w:numId w:val="19"/>
        </w:numPr>
        <w:contextualSpacing w:val="0"/>
        <w:rPr>
          <w:lang w:eastAsia="zh-TW"/>
        </w:rPr>
      </w:pPr>
      <w:r w:rsidRPr="00E96A5C">
        <w:rPr>
          <w:lang w:eastAsia="zh-TW"/>
        </w:rPr>
        <w:t xml:space="preserve">Example 4: </w:t>
      </w:r>
      <w:r w:rsidR="00F37692">
        <w:rPr>
          <w:lang w:eastAsia="zh-TW"/>
        </w:rPr>
        <w:t>gNB</w:t>
      </w:r>
      <w:r w:rsidRPr="00E96A5C">
        <w:rPr>
          <w:lang w:eastAsia="zh-TW"/>
        </w:rPr>
        <w:t xml:space="preserve"> is expected to only transmit reference signals (e.g., CSI-RS for measurement)</w:t>
      </w:r>
    </w:p>
    <w:p w14:paraId="5BCFAA44" w14:textId="47D602F5" w:rsidR="00D52DB0" w:rsidRDefault="00E96A5C" w:rsidP="00C52DC5">
      <w:pPr>
        <w:rPr>
          <w:lang w:eastAsia="zh-TW"/>
        </w:rPr>
      </w:pPr>
      <w:r w:rsidRPr="00E96A5C">
        <w:rPr>
          <w:lang w:eastAsia="zh-TW"/>
        </w:rPr>
        <w:t xml:space="preserve">If a </w:t>
      </w:r>
      <w:r w:rsidR="006B7645">
        <w:rPr>
          <w:lang w:eastAsia="zh-TW"/>
        </w:rPr>
        <w:t>gNB</w:t>
      </w:r>
      <w:r w:rsidRPr="00E96A5C">
        <w:rPr>
          <w:lang w:eastAsia="zh-TW"/>
        </w:rPr>
        <w:t xml:space="preserve"> acts like Example 1 above, before the </w:t>
      </w:r>
      <w:r w:rsidR="006B7645">
        <w:rPr>
          <w:lang w:eastAsia="zh-TW"/>
        </w:rPr>
        <w:t>gNB</w:t>
      </w:r>
      <w:r w:rsidRPr="00E96A5C">
        <w:rPr>
          <w:lang w:eastAsia="zh-TW"/>
        </w:rPr>
        <w:t xml:space="preserve"> starts a cell non-active period, all connected UEs have to leave the </w:t>
      </w:r>
      <w:r w:rsidR="006B7645">
        <w:rPr>
          <w:lang w:eastAsia="zh-TW"/>
        </w:rPr>
        <w:t>gNB</w:t>
      </w:r>
      <w:r w:rsidRPr="00E96A5C">
        <w:rPr>
          <w:lang w:eastAsia="zh-TW"/>
        </w:rPr>
        <w:t xml:space="preserve"> and wish to be handed over properly to another </w:t>
      </w:r>
      <w:r w:rsidR="006B7645">
        <w:rPr>
          <w:lang w:eastAsia="zh-TW"/>
        </w:rPr>
        <w:t>gNB</w:t>
      </w:r>
      <w:r w:rsidR="003B036D">
        <w:rPr>
          <w:lang w:eastAsia="zh-TW"/>
        </w:rPr>
        <w:t>. If gNB</w:t>
      </w:r>
      <w:r w:rsidRPr="00E96A5C">
        <w:rPr>
          <w:lang w:eastAsia="zh-TW"/>
        </w:rPr>
        <w:t xml:space="preserve"> acts like Example 2 or Example 4 above, UEs </w:t>
      </w:r>
      <w:bookmarkStart w:id="1" w:name="_GoBack"/>
      <w:bookmarkEnd w:id="1"/>
      <w:r w:rsidRPr="00E96A5C">
        <w:rPr>
          <w:lang w:eastAsia="zh-TW"/>
        </w:rPr>
        <w:lastRenderedPageBreak/>
        <w:t xml:space="preserve">that are actively transmitting/receiving data or have stringent requirement on data latency may wish to be handed over to another </w:t>
      </w:r>
      <w:r w:rsidR="006B7645">
        <w:rPr>
          <w:lang w:eastAsia="zh-TW"/>
        </w:rPr>
        <w:t>gNB</w:t>
      </w:r>
      <w:r w:rsidR="006B7645" w:rsidRPr="00E96A5C">
        <w:rPr>
          <w:lang w:eastAsia="zh-TW"/>
        </w:rPr>
        <w:t xml:space="preserve"> </w:t>
      </w:r>
      <w:r w:rsidRPr="00E96A5C">
        <w:rPr>
          <w:lang w:eastAsia="zh-TW"/>
        </w:rPr>
        <w:t>that does not enable the time-domain energy saving technique.</w:t>
      </w:r>
      <w:r w:rsidR="00984103">
        <w:rPr>
          <w:lang w:eastAsia="zh-TW"/>
        </w:rPr>
        <w:t xml:space="preserve"> </w:t>
      </w:r>
    </w:p>
    <w:p w14:paraId="3E98A019" w14:textId="3516B0DF" w:rsidR="00581690" w:rsidRDefault="00581690" w:rsidP="00C52DC5">
      <w:r>
        <w:t>Since the gNB</w:t>
      </w:r>
      <w:r w:rsidRPr="00581690">
        <w:t xml:space="preserve"> may need to handover a large number of UEs before starting a cell non-active period, </w:t>
      </w:r>
      <w:r>
        <w:t>i</w:t>
      </w:r>
      <w:r w:rsidRPr="00581690">
        <w:t xml:space="preserve">t </w:t>
      </w:r>
      <w:r>
        <w:t>might</w:t>
      </w:r>
      <w:r w:rsidRPr="00581690">
        <w:t xml:space="preserve"> be better if the </w:t>
      </w:r>
      <w:r>
        <w:t>gNB</w:t>
      </w:r>
      <w:r w:rsidRPr="00581690">
        <w:t xml:space="preserve"> can start configuring the candidate cells and/or the </w:t>
      </w:r>
      <w:r w:rsidR="00C33B89">
        <w:t>CHO execution</w:t>
      </w:r>
      <w:r w:rsidRPr="00581690">
        <w:t xml:space="preserve"> conditions to different UEs as early as possible, and let these UEs autonomously activate the </w:t>
      </w:r>
      <w:r w:rsidR="00C33B89">
        <w:t>CHO execution</w:t>
      </w:r>
      <w:r w:rsidRPr="00581690">
        <w:t xml:space="preserve"> conditions a short time before the </w:t>
      </w:r>
      <w:r w:rsidR="00C33B89">
        <w:t>gNB</w:t>
      </w:r>
      <w:r w:rsidRPr="00581690">
        <w:t xml:space="preserve"> starts the cell non-active period. It is also important to ensure that the </w:t>
      </w:r>
      <w:r w:rsidR="00BC2071">
        <w:t>CHO execution</w:t>
      </w:r>
      <w:r w:rsidRPr="00581690">
        <w:t xml:space="preserve"> conditions won’t be blocked by the </w:t>
      </w:r>
      <w:r w:rsidR="00696637">
        <w:t>signal strength/quality</w:t>
      </w:r>
      <w:r w:rsidRPr="00581690">
        <w:t xml:space="preserve"> of the serving cell, otherwise the </w:t>
      </w:r>
      <w:r w:rsidR="00BF6A7B">
        <w:t>CHO</w:t>
      </w:r>
      <w:r w:rsidRPr="00581690">
        <w:t xml:space="preserve"> procedure may never be executed.</w:t>
      </w:r>
      <w:r w:rsidR="006E1803">
        <w:t xml:space="preserve"> As </w:t>
      </w:r>
      <w:r w:rsidR="00D52CD9">
        <w:rPr>
          <w:i/>
        </w:rPr>
        <w:t>c</w:t>
      </w:r>
      <w:r w:rsidR="006E1803" w:rsidRPr="008C30FE">
        <w:rPr>
          <w:i/>
        </w:rPr>
        <w:t>ondEventA4</w:t>
      </w:r>
      <w:r w:rsidR="006E1803">
        <w:t xml:space="preserve"> considers </w:t>
      </w:r>
      <w:r w:rsidR="009C07BF">
        <w:t xml:space="preserve">only </w:t>
      </w:r>
      <w:r w:rsidR="006E1803">
        <w:t xml:space="preserve">the </w:t>
      </w:r>
      <w:r w:rsidR="00696637">
        <w:t>signal strength/quality</w:t>
      </w:r>
      <w:r w:rsidR="006E1803">
        <w:t xml:space="preserve"> of the neighbor cell, </w:t>
      </w:r>
      <w:r w:rsidR="00696637">
        <w:t xml:space="preserve">it is an ideal CHO execution condition </w:t>
      </w:r>
      <w:r w:rsidR="00F8093B">
        <w:t xml:space="preserve">that </w:t>
      </w:r>
      <w:r w:rsidR="00AA0613">
        <w:t xml:space="preserve">can </w:t>
      </w:r>
      <w:r w:rsidR="00F8093B">
        <w:t xml:space="preserve">make the UE move </w:t>
      </w:r>
      <w:r w:rsidR="003E093F">
        <w:t xml:space="preserve">to </w:t>
      </w:r>
      <w:r w:rsidR="00657CD0">
        <w:t>another</w:t>
      </w:r>
      <w:r w:rsidR="003E093F">
        <w:t xml:space="preserve"> </w:t>
      </w:r>
      <w:r w:rsidR="008D28BB">
        <w:t xml:space="preserve">cell </w:t>
      </w:r>
      <w:r w:rsidR="003E093F">
        <w:t>easier</w:t>
      </w:r>
      <w:r w:rsidR="00F8093B">
        <w:t xml:space="preserve">. </w:t>
      </w:r>
      <w:r w:rsidR="00347E77">
        <w:t xml:space="preserve">However, </w:t>
      </w:r>
      <w:r w:rsidR="00835076">
        <w:t>according to</w:t>
      </w:r>
      <w:r w:rsidR="00347E77">
        <w:t xml:space="preserve"> the current </w:t>
      </w:r>
      <w:r w:rsidR="00347E77" w:rsidRPr="00D41785">
        <w:rPr>
          <w:i/>
        </w:rPr>
        <w:t>condExecutionCond</w:t>
      </w:r>
      <w:r w:rsidR="00347E77">
        <w:t xml:space="preserve"> field description </w:t>
      </w:r>
      <w:r w:rsidR="00835076">
        <w:t>(</w:t>
      </w:r>
      <w:r w:rsidR="00347E77">
        <w:t>in TS 38.331</w:t>
      </w:r>
      <w:r w:rsidR="00C04FA1">
        <w:t xml:space="preserve"> [</w:t>
      </w:r>
      <w:r w:rsidR="00032BDC">
        <w:t>3</w:t>
      </w:r>
      <w:r w:rsidR="00C04FA1">
        <w:t>]</w:t>
      </w:r>
      <w:r w:rsidR="00835076">
        <w:t>)</w:t>
      </w:r>
      <w:r w:rsidR="00347E77">
        <w:t xml:space="preserve">, </w:t>
      </w:r>
      <w:r w:rsidR="00B276F0">
        <w:rPr>
          <w:i/>
        </w:rPr>
        <w:t>c</w:t>
      </w:r>
      <w:r w:rsidR="00835076" w:rsidRPr="00B276F0">
        <w:rPr>
          <w:i/>
        </w:rPr>
        <w:t>ondEventA4</w:t>
      </w:r>
      <w:r w:rsidR="00835076">
        <w:t xml:space="preserve"> can be configured to a UE as a CHO execution condition ONLY in NTN. </w:t>
      </w:r>
    </w:p>
    <w:tbl>
      <w:tblPr>
        <w:tblW w:w="936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60"/>
      </w:tblGrid>
      <w:tr w:rsidR="005E0421" w:rsidRPr="00F10B4F" w14:paraId="52C9E1F0" w14:textId="77777777" w:rsidTr="005E0421">
        <w:trPr>
          <w:cantSplit/>
          <w:tblHeader/>
        </w:trPr>
        <w:tc>
          <w:tcPr>
            <w:tcW w:w="9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E9152" w14:textId="77777777" w:rsidR="005E0421" w:rsidRPr="00F10B4F" w:rsidRDefault="005E0421" w:rsidP="00976B5B">
            <w:pPr>
              <w:pStyle w:val="TAH"/>
              <w:rPr>
                <w:lang w:eastAsia="en-GB"/>
              </w:rPr>
            </w:pPr>
            <w:r w:rsidRPr="00F10B4F">
              <w:rPr>
                <w:i/>
                <w:noProof/>
                <w:lang w:eastAsia="en-GB"/>
              </w:rPr>
              <w:t xml:space="preserve">CondReconfigToAddMod </w:t>
            </w:r>
            <w:r w:rsidRPr="00F10B4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E0421" w:rsidRPr="00F10B4F" w14:paraId="19AB7596" w14:textId="77777777" w:rsidTr="005E0421">
        <w:trPr>
          <w:cantSplit/>
        </w:trPr>
        <w:tc>
          <w:tcPr>
            <w:tcW w:w="9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D844A" w14:textId="77777777" w:rsidR="005E0421" w:rsidRPr="00F10B4F" w:rsidRDefault="005E0421" w:rsidP="00976B5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10B4F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23F8C507" w14:textId="77777777" w:rsidR="005E0421" w:rsidRPr="00F10B4F" w:rsidRDefault="005E0421" w:rsidP="00976B5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10B4F"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 or MN initiated inter-SN CPC. </w:t>
            </w:r>
            <w:r w:rsidRPr="00F10B4F">
              <w:t xml:space="preserve">When configuring 2 triggering events (Meas Ids) for a candidate cell, the network ensures that both refer to the same </w:t>
            </w:r>
            <w:r w:rsidRPr="00F10B4F">
              <w:rPr>
                <w:i/>
                <w:iCs/>
              </w:rPr>
              <w:t>measObject.</w:t>
            </w:r>
            <w:r w:rsidRPr="00F10B4F">
              <w:t xml:space="preserve"> For CHO, if the network configures </w:t>
            </w:r>
            <w:r w:rsidRPr="00F10B4F">
              <w:rPr>
                <w:i/>
                <w:iCs/>
              </w:rPr>
              <w:t>condEventD1</w:t>
            </w:r>
            <w:r w:rsidRPr="00F10B4F">
              <w:t xml:space="preserve"> or </w:t>
            </w:r>
            <w:r w:rsidRPr="00F10B4F">
              <w:rPr>
                <w:i/>
                <w:iCs/>
              </w:rPr>
              <w:t>condEventT1</w:t>
            </w:r>
            <w:r w:rsidRPr="00F10B4F">
              <w:t xml:space="preserve"> for a candidate cell, the network configures a second triggering event </w:t>
            </w:r>
            <w:r w:rsidRPr="00F10B4F">
              <w:rPr>
                <w:i/>
                <w:iCs/>
              </w:rPr>
              <w:t>condEventA3, condEventA4</w:t>
            </w:r>
            <w:r w:rsidRPr="00F10B4F">
              <w:t xml:space="preserve"> or </w:t>
            </w:r>
            <w:r w:rsidRPr="00F10B4F">
              <w:rPr>
                <w:i/>
                <w:iCs/>
              </w:rPr>
              <w:t>condEventA5</w:t>
            </w:r>
            <w:r w:rsidRPr="00F10B4F">
              <w:t xml:space="preserve"> for the same candidate cell. The network does not configure both </w:t>
            </w:r>
            <w:r w:rsidRPr="00F10B4F">
              <w:rPr>
                <w:i/>
                <w:iCs/>
              </w:rPr>
              <w:t>condEventD1</w:t>
            </w:r>
            <w:r w:rsidRPr="00F10B4F">
              <w:t xml:space="preserve"> and </w:t>
            </w:r>
            <w:r w:rsidRPr="00F10B4F">
              <w:rPr>
                <w:i/>
                <w:iCs/>
              </w:rPr>
              <w:t>condEventT1</w:t>
            </w:r>
            <w:r w:rsidRPr="00F10B4F">
              <w:t xml:space="preserve"> for the same candidate cell. </w:t>
            </w:r>
            <w:r w:rsidRPr="005E0421">
              <w:rPr>
                <w:highlight w:val="yellow"/>
                <w:lang w:eastAsia="en-US"/>
              </w:rPr>
              <w:t xml:space="preserve">For CHO in terrestrial networks, the network does not indicate a </w:t>
            </w:r>
            <w:r w:rsidRPr="005E0421">
              <w:rPr>
                <w:i/>
                <w:iCs/>
                <w:highlight w:val="yellow"/>
                <w:lang w:eastAsia="en-US"/>
              </w:rPr>
              <w:t>MeasId</w:t>
            </w:r>
            <w:r w:rsidRPr="005E0421">
              <w:rPr>
                <w:highlight w:val="yellow"/>
                <w:lang w:eastAsia="en-US"/>
              </w:rPr>
              <w:t xml:space="preserve"> associated with </w:t>
            </w:r>
            <w:r w:rsidRPr="005E0421">
              <w:rPr>
                <w:i/>
                <w:iCs/>
                <w:highlight w:val="yellow"/>
                <w:lang w:eastAsia="en-US"/>
              </w:rPr>
              <w:t>condEventA4</w:t>
            </w:r>
            <w:r w:rsidRPr="00F10B4F">
              <w:t xml:space="preserve">. For CPA and for MN-initiated inter-SN CPC, the network only indicates </w:t>
            </w:r>
            <w:r w:rsidRPr="00F10B4F">
              <w:rPr>
                <w:i/>
              </w:rPr>
              <w:t>MeasId</w:t>
            </w:r>
            <w:r w:rsidRPr="00F10B4F">
              <w:t xml:space="preserve">(s) associated with </w:t>
            </w:r>
            <w:r w:rsidRPr="00F10B4F">
              <w:rPr>
                <w:i/>
              </w:rPr>
              <w:t>condEventA4</w:t>
            </w:r>
            <w:r w:rsidRPr="00F10B4F">
              <w:t xml:space="preserve">. For intra-SN CPC, the network only indicates </w:t>
            </w:r>
            <w:r w:rsidRPr="00F10B4F">
              <w:rPr>
                <w:i/>
              </w:rPr>
              <w:t>MeasId</w:t>
            </w:r>
            <w:r w:rsidRPr="00F10B4F">
              <w:t xml:space="preserve">(s) associated with </w:t>
            </w:r>
            <w:r w:rsidRPr="00F10B4F">
              <w:rPr>
                <w:i/>
              </w:rPr>
              <w:t>condEventA3</w:t>
            </w:r>
            <w:r w:rsidRPr="00F10B4F">
              <w:t xml:space="preserve"> or </w:t>
            </w:r>
            <w:r w:rsidRPr="00F10B4F">
              <w:rPr>
                <w:i/>
              </w:rPr>
              <w:t>condEventA5</w:t>
            </w:r>
            <w:r w:rsidRPr="00F10B4F">
              <w:t>.</w:t>
            </w:r>
          </w:p>
        </w:tc>
      </w:tr>
    </w:tbl>
    <w:p w14:paraId="74CD3556" w14:textId="77777777" w:rsidR="005E0421" w:rsidRPr="00D52DB0" w:rsidRDefault="005E0421" w:rsidP="00D52DB0">
      <w:pPr>
        <w:pStyle w:val="ListParagraph"/>
        <w:ind w:left="0" w:firstLine="0"/>
        <w:contextualSpacing w:val="0"/>
        <w:rPr>
          <w:rFonts w:eastAsiaTheme="minorEastAsia"/>
          <w:szCs w:val="20"/>
          <w:lang w:eastAsia="zh-TW"/>
        </w:rPr>
      </w:pPr>
    </w:p>
    <w:p w14:paraId="4F0AEA43" w14:textId="7DAD7652" w:rsidR="00D02CCA" w:rsidRDefault="005B421A" w:rsidP="00D02CCA">
      <w:pPr>
        <w:pStyle w:val="Observation"/>
        <w:rPr>
          <w:lang w:eastAsia="zh-TW"/>
        </w:rPr>
      </w:pPr>
      <w:bookmarkStart w:id="2" w:name="_Toc134611946"/>
      <w:r w:rsidRPr="001B25AE">
        <w:rPr>
          <w:i/>
          <w:lang w:eastAsia="zh-TW"/>
        </w:rPr>
        <w:t>CondEventA4</w:t>
      </w:r>
      <w:r>
        <w:rPr>
          <w:lang w:eastAsia="zh-TW"/>
        </w:rPr>
        <w:t xml:space="preserve"> is an ideal CHO execution condition that allows UE to move to a candidate </w:t>
      </w:r>
      <w:r w:rsidR="007B16C1">
        <w:rPr>
          <w:lang w:eastAsia="zh-TW"/>
        </w:rPr>
        <w:t xml:space="preserve">neighbor </w:t>
      </w:r>
      <w:r>
        <w:rPr>
          <w:lang w:eastAsia="zh-TW"/>
        </w:rPr>
        <w:t>cell easier before the serving cell enters the “NES mode”</w:t>
      </w:r>
      <w:r w:rsidR="001B4DE3">
        <w:rPr>
          <w:lang w:eastAsia="zh-TW"/>
        </w:rPr>
        <w:t xml:space="preserve">, but is only applicable </w:t>
      </w:r>
      <w:r w:rsidR="009E1861">
        <w:rPr>
          <w:lang w:eastAsia="zh-TW"/>
        </w:rPr>
        <w:t>in</w:t>
      </w:r>
      <w:r w:rsidR="001B4DE3">
        <w:rPr>
          <w:lang w:eastAsia="zh-TW"/>
        </w:rPr>
        <w:t xml:space="preserve"> the NTN scenario.</w:t>
      </w:r>
      <w:bookmarkEnd w:id="2"/>
      <w:r w:rsidR="001B4DE3">
        <w:rPr>
          <w:lang w:eastAsia="zh-TW"/>
        </w:rPr>
        <w:t xml:space="preserve"> </w:t>
      </w:r>
    </w:p>
    <w:p w14:paraId="1218EF72" w14:textId="0050C3E7" w:rsidR="00D02CCA" w:rsidRDefault="005E0421" w:rsidP="00C52DC5">
      <w:pPr>
        <w:rPr>
          <w:lang w:eastAsia="zh-TW"/>
        </w:rPr>
      </w:pPr>
      <w:r>
        <w:rPr>
          <w:lang w:eastAsia="zh-TW"/>
        </w:rPr>
        <w:t xml:space="preserve">To facilitate the CHO execution before the serving cell starts the NES mode, the network should be allowed to configure a </w:t>
      </w:r>
      <w:r w:rsidRPr="00C849E1">
        <w:rPr>
          <w:i/>
          <w:lang w:eastAsia="zh-TW"/>
        </w:rPr>
        <w:t>MeasI</w:t>
      </w:r>
      <w:r w:rsidR="00FD54A6">
        <w:rPr>
          <w:i/>
          <w:lang w:eastAsia="zh-TW"/>
        </w:rPr>
        <w:t>d</w:t>
      </w:r>
      <w:r>
        <w:rPr>
          <w:lang w:eastAsia="zh-TW"/>
        </w:rPr>
        <w:t xml:space="preserve"> </w:t>
      </w:r>
      <w:r w:rsidR="00A167E9">
        <w:rPr>
          <w:lang w:eastAsia="zh-TW"/>
        </w:rPr>
        <w:t xml:space="preserve">associated to </w:t>
      </w:r>
      <w:r w:rsidR="00A167E9" w:rsidRPr="002A05E7">
        <w:rPr>
          <w:i/>
          <w:lang w:eastAsia="zh-TW"/>
        </w:rPr>
        <w:t>condEventA4</w:t>
      </w:r>
      <w:r w:rsidR="00A167E9">
        <w:rPr>
          <w:lang w:eastAsia="zh-TW"/>
        </w:rPr>
        <w:t xml:space="preserve"> to a UE supporting the NES feature</w:t>
      </w:r>
      <w:r w:rsidR="0078318E">
        <w:t>.</w:t>
      </w:r>
    </w:p>
    <w:p w14:paraId="7072D867" w14:textId="72AA7463" w:rsidR="00402A45" w:rsidRDefault="00CD6596" w:rsidP="00402A45">
      <w:pPr>
        <w:pStyle w:val="Proposal"/>
        <w:rPr>
          <w:lang w:eastAsia="zh-TW"/>
        </w:rPr>
      </w:pPr>
      <w:bookmarkStart w:id="3" w:name="_Toc131764424"/>
      <w:bookmarkStart w:id="4" w:name="_Toc134611951"/>
      <w:bookmarkStart w:id="5" w:name="_Toc134612418"/>
      <w:r w:rsidRPr="001B25AE">
        <w:rPr>
          <w:i/>
          <w:szCs w:val="22"/>
        </w:rPr>
        <w:t>CondEventA4</w:t>
      </w:r>
      <w:r>
        <w:rPr>
          <w:szCs w:val="22"/>
        </w:rPr>
        <w:t xml:space="preserve"> can be configured </w:t>
      </w:r>
      <w:r w:rsidR="00D948DA">
        <w:rPr>
          <w:szCs w:val="22"/>
        </w:rPr>
        <w:t xml:space="preserve">as a CHO execution condition </w:t>
      </w:r>
      <w:r w:rsidR="001C5446">
        <w:rPr>
          <w:szCs w:val="22"/>
        </w:rPr>
        <w:t>in</w:t>
      </w:r>
      <w:r>
        <w:rPr>
          <w:szCs w:val="22"/>
        </w:rPr>
        <w:t xml:space="preserve"> the NES </w:t>
      </w:r>
      <w:r w:rsidR="001C5446">
        <w:rPr>
          <w:szCs w:val="22"/>
        </w:rPr>
        <w:t>scenario</w:t>
      </w:r>
      <w:r w:rsidR="00BA4766">
        <w:rPr>
          <w:szCs w:val="22"/>
        </w:rPr>
        <w:t>.</w:t>
      </w:r>
      <w:bookmarkEnd w:id="3"/>
      <w:bookmarkEnd w:id="4"/>
      <w:bookmarkEnd w:id="5"/>
    </w:p>
    <w:p w14:paraId="7D18870C" w14:textId="428B3FE7" w:rsidR="00DB4473" w:rsidRDefault="00E854B7" w:rsidP="003A093F">
      <w:pPr>
        <w:rPr>
          <w:b/>
          <w:szCs w:val="22"/>
          <w:lang w:eastAsia="zh-TW"/>
        </w:rPr>
      </w:pPr>
      <w:r>
        <w:t>Given that</w:t>
      </w:r>
      <w:r w:rsidR="00CB59AC">
        <w:t xml:space="preserve"> </w:t>
      </w:r>
      <w:r w:rsidR="003C7B16">
        <w:t xml:space="preserve">the </w:t>
      </w:r>
      <w:r>
        <w:t>interval</w:t>
      </w:r>
      <w:r w:rsidR="00AA34AF">
        <w:t xml:space="preserve"> between </w:t>
      </w:r>
      <w:r w:rsidR="003C7B16">
        <w:t xml:space="preserve">when the UE is provided with the CHO configuration and when the cell non-active period actually starts could be quite long, the UE may not want to move to the candidate cell immediately upon being provided with the </w:t>
      </w:r>
      <w:r w:rsidR="00015E9A">
        <w:t>candidate cell</w:t>
      </w:r>
      <w:r w:rsidR="003C7B16">
        <w:t xml:space="preserve"> configuration</w:t>
      </w:r>
      <w:r>
        <w:t xml:space="preserve">, as the serving cell may still </w:t>
      </w:r>
      <w:r w:rsidR="00C259B5">
        <w:t xml:space="preserve">provide </w:t>
      </w:r>
      <w:r>
        <w:t xml:space="preserve">much better signal strength/quality. </w:t>
      </w:r>
      <w:r w:rsidR="00D6751C">
        <w:t xml:space="preserve">Therefore, it is very reasonable </w:t>
      </w:r>
      <w:r w:rsidR="00A733B3">
        <w:t xml:space="preserve">for the NW </w:t>
      </w:r>
      <w:r w:rsidR="00D6751C">
        <w:t xml:space="preserve">to </w:t>
      </w:r>
      <w:r w:rsidR="00596BD9">
        <w:t>deactivate</w:t>
      </w:r>
      <w:r w:rsidR="00D6751C">
        <w:t xml:space="preserve"> the </w:t>
      </w:r>
      <w:r w:rsidR="00D6751C" w:rsidRPr="00596BD9">
        <w:rPr>
          <w:i/>
        </w:rPr>
        <w:t>MeasI</w:t>
      </w:r>
      <w:r w:rsidR="00FC21D3">
        <w:rPr>
          <w:i/>
        </w:rPr>
        <w:t>d</w:t>
      </w:r>
      <w:r w:rsidR="00D6751C">
        <w:t xml:space="preserve"> associated to </w:t>
      </w:r>
      <w:r w:rsidR="00D6751C" w:rsidRPr="00596BD9">
        <w:rPr>
          <w:i/>
        </w:rPr>
        <w:t>condEventA4</w:t>
      </w:r>
      <w:r w:rsidR="00D6751C">
        <w:t xml:space="preserve"> </w:t>
      </w:r>
      <w:r w:rsidR="00596BD9">
        <w:t xml:space="preserve">upon </w:t>
      </w:r>
      <w:r w:rsidR="00A733B3">
        <w:t>configuring the</w:t>
      </w:r>
      <w:r w:rsidR="00596BD9">
        <w:t xml:space="preserve"> </w:t>
      </w:r>
      <w:r w:rsidR="00596BD9" w:rsidRPr="00596BD9">
        <w:rPr>
          <w:i/>
        </w:rPr>
        <w:t>MeasId</w:t>
      </w:r>
      <w:r w:rsidR="00596BD9">
        <w:t xml:space="preserve"> to the UE</w:t>
      </w:r>
      <w:r w:rsidR="00FC21D3">
        <w:t xml:space="preserve">, and then </w:t>
      </w:r>
      <w:r w:rsidR="00F56575">
        <w:t xml:space="preserve">to </w:t>
      </w:r>
      <w:r w:rsidR="00FC21D3">
        <w:t xml:space="preserve">activate the deactivated </w:t>
      </w:r>
      <w:r w:rsidR="00FC21D3" w:rsidRPr="009D2A52">
        <w:rPr>
          <w:i/>
        </w:rPr>
        <w:t>MeasId</w:t>
      </w:r>
      <w:r w:rsidR="00FC21D3">
        <w:t xml:space="preserve"> </w:t>
      </w:r>
      <w:r w:rsidR="00154D0A">
        <w:t xml:space="preserve">at a later time before the occurrence of the </w:t>
      </w:r>
      <w:r w:rsidR="005A0C32">
        <w:t>cell non-active period.</w:t>
      </w:r>
      <w:r w:rsidR="00D512C0">
        <w:t xml:space="preserve"> </w:t>
      </w:r>
      <w:r w:rsidR="000C624C">
        <w:t xml:space="preserve">The NW may deactivate the </w:t>
      </w:r>
      <w:r w:rsidR="000C624C" w:rsidRPr="000C624C">
        <w:rPr>
          <w:i/>
        </w:rPr>
        <w:t>MeasId</w:t>
      </w:r>
      <w:r w:rsidR="000C624C">
        <w:t xml:space="preserve"> explicitly or implicitly upon configuring the </w:t>
      </w:r>
      <w:r w:rsidR="000C624C" w:rsidRPr="00E4516E">
        <w:rPr>
          <w:i/>
        </w:rPr>
        <w:t>MeasId</w:t>
      </w:r>
      <w:r w:rsidR="000C624C">
        <w:t xml:space="preserve"> to the UE. For instance, </w:t>
      </w:r>
      <w:r w:rsidR="007B0D9D" w:rsidRPr="007B0D9D">
        <w:t xml:space="preserve">the </w:t>
      </w:r>
      <w:r w:rsidR="007B0D9D">
        <w:t>NW</w:t>
      </w:r>
      <w:r w:rsidR="007B0D9D" w:rsidRPr="007B0D9D">
        <w:t xml:space="preserve"> </w:t>
      </w:r>
      <w:r w:rsidR="007B0D9D">
        <w:t xml:space="preserve">may </w:t>
      </w:r>
      <w:r w:rsidR="007B0D9D" w:rsidRPr="007B0D9D">
        <w:t xml:space="preserve">signal a </w:t>
      </w:r>
      <w:r w:rsidR="007B0D9D" w:rsidRPr="00E624EF">
        <w:rPr>
          <w:i/>
        </w:rPr>
        <w:t>MeasId</w:t>
      </w:r>
      <w:r w:rsidR="007B0D9D" w:rsidRPr="007B0D9D">
        <w:t xml:space="preserve"> together with a flag associated to the </w:t>
      </w:r>
      <w:r w:rsidR="007B0D9D" w:rsidRPr="00E624EF">
        <w:rPr>
          <w:i/>
        </w:rPr>
        <w:t>MeasId</w:t>
      </w:r>
      <w:r w:rsidR="00E624EF">
        <w:t xml:space="preserve">, which </w:t>
      </w:r>
      <w:r w:rsidR="007B0D9D" w:rsidRPr="007B0D9D">
        <w:t>indicat</w:t>
      </w:r>
      <w:r w:rsidR="00E624EF">
        <w:t>es</w:t>
      </w:r>
      <w:r w:rsidR="007B0D9D" w:rsidRPr="007B0D9D">
        <w:t xml:space="preserve"> whether this </w:t>
      </w:r>
      <w:r w:rsidR="007B0D9D" w:rsidRPr="00E624EF">
        <w:rPr>
          <w:i/>
        </w:rPr>
        <w:t>MeasId</w:t>
      </w:r>
      <w:r w:rsidR="007B0D9D" w:rsidRPr="007B0D9D">
        <w:t xml:space="preserve"> is being activated or deactivated. </w:t>
      </w:r>
      <w:r w:rsidR="007B0D9D">
        <w:t>On the other hand</w:t>
      </w:r>
      <w:r w:rsidR="007B0D9D" w:rsidRPr="007B0D9D">
        <w:t xml:space="preserve">, a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can be</w:t>
      </w:r>
      <w:r w:rsidR="007B0D9D" w:rsidRPr="007B0D9D">
        <w:t xml:space="preserve"> considered (by both the UE </w:t>
      </w:r>
      <w:r w:rsidR="007B0D9D">
        <w:t>and NW</w:t>
      </w:r>
      <w:r w:rsidR="007B0D9D" w:rsidRPr="007B0D9D">
        <w:t xml:space="preserve">) as being deactivated </w:t>
      </w:r>
      <w:r w:rsidR="007B0D9D">
        <w:t>by default</w:t>
      </w:r>
      <w:r w:rsidR="007B0D9D" w:rsidRPr="007B0D9D">
        <w:t xml:space="preserve"> if the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is associated with</w:t>
      </w:r>
      <w:r w:rsidR="007B0D9D" w:rsidRPr="007B0D9D">
        <w:t xml:space="preserve"> </w:t>
      </w:r>
      <w:r w:rsidR="007B0D9D" w:rsidRPr="00E624EF">
        <w:rPr>
          <w:i/>
        </w:rPr>
        <w:t>condEventA4</w:t>
      </w:r>
      <w:r w:rsidR="007B0D9D" w:rsidRPr="007B0D9D">
        <w:t>.</w:t>
      </w:r>
    </w:p>
    <w:p w14:paraId="4957220B" w14:textId="226FC5A4" w:rsidR="00646C6E" w:rsidRPr="00C52DC5" w:rsidRDefault="003764F0" w:rsidP="00646C6E">
      <w:pPr>
        <w:pStyle w:val="Proposal"/>
        <w:rPr>
          <w:lang w:eastAsia="zh-TW"/>
        </w:rPr>
      </w:pPr>
      <w:bookmarkStart w:id="6" w:name="_Toc134611952"/>
      <w:bookmarkStart w:id="7" w:name="_Toc134612419"/>
      <w:r>
        <w:rPr>
          <w:szCs w:val="22"/>
        </w:rPr>
        <w:t xml:space="preserve">The </w:t>
      </w:r>
      <w:r w:rsidRPr="00280032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="00D6751C">
        <w:rPr>
          <w:i/>
          <w:szCs w:val="22"/>
        </w:rPr>
        <w:t>c</w:t>
      </w:r>
      <w:r w:rsidR="001B25AE" w:rsidRPr="00254B91">
        <w:rPr>
          <w:i/>
          <w:szCs w:val="22"/>
        </w:rPr>
        <w:t>ondEventA4</w:t>
      </w:r>
      <w:r w:rsidR="001B25AE">
        <w:rPr>
          <w:szCs w:val="22"/>
        </w:rPr>
        <w:t xml:space="preserve"> can be deactivated </w:t>
      </w:r>
      <w:r w:rsidR="00684D24">
        <w:rPr>
          <w:szCs w:val="22"/>
        </w:rPr>
        <w:t>upon being configured to a NES-compatible UE. FFS on</w:t>
      </w:r>
      <w:r>
        <w:rPr>
          <w:szCs w:val="22"/>
        </w:rPr>
        <w:t xml:space="preserve"> how to deactivate the </w:t>
      </w:r>
      <w:r w:rsidRPr="00280032">
        <w:rPr>
          <w:i/>
          <w:szCs w:val="22"/>
        </w:rPr>
        <w:t>MeasID</w:t>
      </w:r>
      <w:r w:rsidR="00684D24">
        <w:rPr>
          <w:szCs w:val="22"/>
        </w:rPr>
        <w:t xml:space="preserve"> </w:t>
      </w:r>
      <w:r>
        <w:rPr>
          <w:szCs w:val="22"/>
        </w:rPr>
        <w:t>associated to</w:t>
      </w:r>
      <w:r w:rsidR="00684D24">
        <w:rPr>
          <w:szCs w:val="22"/>
        </w:rPr>
        <w:t xml:space="preserve"> </w:t>
      </w:r>
      <w:r w:rsidR="00BE1712">
        <w:rPr>
          <w:i/>
          <w:szCs w:val="22"/>
        </w:rPr>
        <w:t>c</w:t>
      </w:r>
      <w:r w:rsidR="00684D24" w:rsidRPr="00280032">
        <w:rPr>
          <w:i/>
          <w:szCs w:val="22"/>
        </w:rPr>
        <w:t>ondEventA4</w:t>
      </w:r>
      <w:r>
        <w:rPr>
          <w:szCs w:val="22"/>
        </w:rPr>
        <w:t xml:space="preserve"> (e.g., implicitly </w:t>
      </w:r>
      <w:r w:rsidR="0017178D">
        <w:rPr>
          <w:szCs w:val="22"/>
        </w:rPr>
        <w:t>or</w:t>
      </w:r>
      <w:r>
        <w:rPr>
          <w:szCs w:val="22"/>
        </w:rPr>
        <w:t xml:space="preserve"> explicitly deactivate)</w:t>
      </w:r>
      <w:r w:rsidR="00496F9B">
        <w:rPr>
          <w:szCs w:val="22"/>
        </w:rPr>
        <w:t>.</w:t>
      </w:r>
      <w:bookmarkEnd w:id="6"/>
      <w:bookmarkEnd w:id="7"/>
    </w:p>
    <w:p w14:paraId="34FDDAFA" w14:textId="229876F2" w:rsidR="00C52DC5" w:rsidRPr="00DB4473" w:rsidRDefault="005056BC" w:rsidP="00C52DC5">
      <w:pPr>
        <w:rPr>
          <w:lang w:eastAsia="zh-TW"/>
        </w:rPr>
      </w:pPr>
      <w:r>
        <w:rPr>
          <w:lang w:eastAsia="zh-TW"/>
        </w:rPr>
        <w:t>Regarding the mechanism</w:t>
      </w:r>
      <w:r w:rsidR="007E07EB">
        <w:rPr>
          <w:lang w:eastAsia="zh-TW"/>
        </w:rPr>
        <w:t>/timing</w:t>
      </w:r>
      <w:r>
        <w:rPr>
          <w:lang w:eastAsia="zh-TW"/>
        </w:rPr>
        <w:t xml:space="preserve"> to activate a deactivated </w:t>
      </w:r>
      <w:r w:rsidRPr="00A47D82">
        <w:rPr>
          <w:i/>
          <w:lang w:eastAsia="zh-TW"/>
        </w:rPr>
        <w:t>MeasId</w:t>
      </w:r>
      <w:r>
        <w:rPr>
          <w:lang w:eastAsia="zh-TW"/>
        </w:rPr>
        <w:t xml:space="preserve">, </w:t>
      </w:r>
      <w:r w:rsidR="00274E8A">
        <w:rPr>
          <w:lang w:eastAsia="zh-TW"/>
        </w:rPr>
        <w:t xml:space="preserve">we think a deactivated </w:t>
      </w:r>
      <w:r w:rsidR="00274E8A" w:rsidRPr="00AD1024">
        <w:rPr>
          <w:i/>
          <w:lang w:eastAsia="zh-TW"/>
        </w:rPr>
        <w:t>MeasId</w:t>
      </w:r>
      <w:r w:rsidR="00274E8A">
        <w:rPr>
          <w:lang w:eastAsia="zh-TW"/>
        </w:rPr>
        <w:t xml:space="preserve"> can be activated </w:t>
      </w:r>
      <w:r w:rsidR="00102345">
        <w:rPr>
          <w:lang w:eastAsia="zh-TW"/>
        </w:rPr>
        <w:t xml:space="preserve">upon the activation of </w:t>
      </w:r>
      <w:r w:rsidR="00AD1024">
        <w:rPr>
          <w:lang w:eastAsia="zh-TW"/>
        </w:rPr>
        <w:t>the serving cell</w:t>
      </w:r>
      <w:r w:rsidR="00102345">
        <w:rPr>
          <w:lang w:eastAsia="zh-TW"/>
        </w:rPr>
        <w:t xml:space="preserve"> DTX/DRX/NES mode, </w:t>
      </w:r>
      <w:r w:rsidR="00154906">
        <w:rPr>
          <w:lang w:eastAsia="zh-TW"/>
        </w:rPr>
        <w:t>regardless of</w:t>
      </w:r>
      <w:r w:rsidR="0019146F">
        <w:rPr>
          <w:lang w:eastAsia="zh-TW"/>
        </w:rPr>
        <w:t xml:space="preserve"> whether the </w:t>
      </w:r>
      <w:r w:rsidR="00AD1024">
        <w:rPr>
          <w:lang w:eastAsia="zh-TW"/>
        </w:rPr>
        <w:t xml:space="preserve">serving </w:t>
      </w:r>
      <w:r w:rsidR="0019146F">
        <w:rPr>
          <w:lang w:eastAsia="zh-TW"/>
        </w:rPr>
        <w:t xml:space="preserve">cell DTX/DRX/NES mode </w:t>
      </w:r>
      <w:r w:rsidR="002260B7">
        <w:rPr>
          <w:lang w:eastAsia="zh-TW"/>
        </w:rPr>
        <w:t xml:space="preserve">is being activated explicitly (e.g., using L1 signaling) </w:t>
      </w:r>
      <w:r w:rsidR="00AD1024">
        <w:rPr>
          <w:lang w:eastAsia="zh-TW"/>
        </w:rPr>
        <w:t>or implicitly</w:t>
      </w:r>
      <w:r w:rsidR="00477B70">
        <w:rPr>
          <w:lang w:eastAsia="zh-TW"/>
        </w:rPr>
        <w:t xml:space="preserve"> (e.g, upon being configured </w:t>
      </w:r>
      <w:r w:rsidR="00143B8B">
        <w:rPr>
          <w:lang w:eastAsia="zh-TW"/>
        </w:rPr>
        <w:t>with</w:t>
      </w:r>
      <w:r w:rsidR="00477B70">
        <w:rPr>
          <w:lang w:eastAsia="zh-TW"/>
        </w:rPr>
        <w:t xml:space="preserve"> RRC signaling)</w:t>
      </w:r>
      <w:r w:rsidR="00AD1024">
        <w:rPr>
          <w:lang w:eastAsia="zh-TW"/>
        </w:rPr>
        <w:t xml:space="preserve">. </w:t>
      </w:r>
      <w:r w:rsidR="000D3F72">
        <w:rPr>
          <w:lang w:eastAsia="zh-TW"/>
        </w:rPr>
        <w:t xml:space="preserve">RAN2 can further consider if a deactivated </w:t>
      </w:r>
      <w:r w:rsidR="000D3F72" w:rsidRPr="000D3F72">
        <w:rPr>
          <w:i/>
          <w:lang w:eastAsia="zh-TW"/>
        </w:rPr>
        <w:t>MeasId</w:t>
      </w:r>
      <w:r w:rsidR="000D3F72">
        <w:rPr>
          <w:lang w:eastAsia="zh-TW"/>
        </w:rPr>
        <w:t xml:space="preserve"> can be activated </w:t>
      </w:r>
      <w:r w:rsidR="00D66F2F" w:rsidRPr="00D66F2F">
        <w:rPr>
          <w:i/>
          <w:lang w:eastAsia="zh-TW"/>
        </w:rPr>
        <w:t>X</w:t>
      </w:r>
      <w:r w:rsidR="00D66F2F">
        <w:rPr>
          <w:lang w:eastAsia="zh-TW"/>
        </w:rPr>
        <w:t xml:space="preserve"> time units</w:t>
      </w:r>
      <w:r w:rsidR="000D3F72">
        <w:rPr>
          <w:lang w:eastAsia="zh-TW"/>
        </w:rPr>
        <w:t xml:space="preserve"> before the occurrence of a cell non-active period, </w:t>
      </w:r>
      <w:r w:rsidR="00D66F2F">
        <w:rPr>
          <w:lang w:eastAsia="zh-TW"/>
        </w:rPr>
        <w:t xml:space="preserve">if the UE </w:t>
      </w:r>
      <w:r w:rsidR="009B23C2">
        <w:rPr>
          <w:lang w:eastAsia="zh-TW"/>
        </w:rPr>
        <w:t>is able to</w:t>
      </w:r>
      <w:r w:rsidR="00D66F2F">
        <w:rPr>
          <w:lang w:eastAsia="zh-TW"/>
        </w:rPr>
        <w:t xml:space="preserve"> determine exact</w:t>
      </w:r>
      <w:r w:rsidR="006D2B3C">
        <w:rPr>
          <w:lang w:eastAsia="zh-TW"/>
        </w:rPr>
        <w:t>ly the</w:t>
      </w:r>
      <w:r w:rsidR="00D66F2F">
        <w:rPr>
          <w:lang w:eastAsia="zh-TW"/>
        </w:rPr>
        <w:t xml:space="preserve"> </w:t>
      </w:r>
      <w:r w:rsidR="00D05132">
        <w:rPr>
          <w:lang w:eastAsia="zh-TW"/>
        </w:rPr>
        <w:t>arrival time</w:t>
      </w:r>
      <w:r w:rsidR="00D66F2F">
        <w:rPr>
          <w:lang w:eastAsia="zh-TW"/>
        </w:rPr>
        <w:t xml:space="preserve"> </w:t>
      </w:r>
      <w:r w:rsidR="00CB4723">
        <w:rPr>
          <w:lang w:eastAsia="zh-TW"/>
        </w:rPr>
        <w:t>of a</w:t>
      </w:r>
      <w:r w:rsidR="002268E2">
        <w:rPr>
          <w:lang w:eastAsia="zh-TW"/>
        </w:rPr>
        <w:t>n</w:t>
      </w:r>
      <w:r w:rsidR="00CB4723">
        <w:rPr>
          <w:lang w:eastAsia="zh-TW"/>
        </w:rPr>
        <w:t xml:space="preserve"> aperiodic/p</w:t>
      </w:r>
      <w:r w:rsidR="00876C0C">
        <w:rPr>
          <w:lang w:eastAsia="zh-TW"/>
        </w:rPr>
        <w:t xml:space="preserve">eriodic cell non-active period, where the value </w:t>
      </w:r>
      <w:r w:rsidR="00876C0C" w:rsidRPr="0001353D">
        <w:rPr>
          <w:i/>
          <w:lang w:eastAsia="zh-TW"/>
        </w:rPr>
        <w:t>X</w:t>
      </w:r>
      <w:r w:rsidR="00876C0C">
        <w:rPr>
          <w:lang w:eastAsia="zh-TW"/>
        </w:rPr>
        <w:t xml:space="preserve"> can be a pre-defined or a configurable value.</w:t>
      </w:r>
    </w:p>
    <w:p w14:paraId="10DDECC3" w14:textId="6D75DE31" w:rsidR="00354FEA" w:rsidRPr="00B57432" w:rsidRDefault="00F92138" w:rsidP="00354FEA">
      <w:pPr>
        <w:pStyle w:val="Proposal"/>
        <w:rPr>
          <w:lang w:eastAsia="zh-TW"/>
        </w:rPr>
      </w:pPr>
      <w:bookmarkStart w:id="8" w:name="_Toc127532106"/>
      <w:bookmarkStart w:id="9" w:name="_Toc127539289"/>
      <w:bookmarkStart w:id="10" w:name="_Toc127539372"/>
      <w:bookmarkStart w:id="11" w:name="_Toc127539388"/>
      <w:bookmarkStart w:id="12" w:name="_Toc131763152"/>
      <w:bookmarkStart w:id="13" w:name="_Toc131764426"/>
      <w:bookmarkStart w:id="14" w:name="_Toc134611953"/>
      <w:bookmarkStart w:id="15" w:name="_Toc134612420"/>
      <w:r>
        <w:rPr>
          <w:szCs w:val="22"/>
        </w:rPr>
        <w:lastRenderedPageBreak/>
        <w:t xml:space="preserve">The </w:t>
      </w:r>
      <w:r w:rsidRPr="000C0F04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Pr="000C0F04">
        <w:rPr>
          <w:i/>
          <w:szCs w:val="22"/>
        </w:rPr>
        <w:t>CondEventA4</w:t>
      </w:r>
      <w:r>
        <w:rPr>
          <w:szCs w:val="22"/>
        </w:rPr>
        <w:t xml:space="preserve"> can be activated upon the activation of a cell DTX/DRX/NES mode</w:t>
      </w:r>
      <w:r w:rsidR="00AD4221">
        <w:rPr>
          <w:szCs w:val="22"/>
        </w:rPr>
        <w:t>.</w:t>
      </w:r>
      <w:bookmarkEnd w:id="8"/>
      <w:bookmarkEnd w:id="9"/>
      <w:bookmarkEnd w:id="10"/>
      <w:bookmarkEnd w:id="11"/>
      <w:bookmarkEnd w:id="12"/>
      <w:bookmarkEnd w:id="13"/>
      <w:r w:rsidR="000C0F04">
        <w:rPr>
          <w:szCs w:val="22"/>
        </w:rPr>
        <w:t xml:space="preserve"> </w:t>
      </w:r>
      <w:r w:rsidR="00A12224">
        <w:rPr>
          <w:szCs w:val="22"/>
        </w:rPr>
        <w:t xml:space="preserve">FFS whether the </w:t>
      </w:r>
      <w:r w:rsidR="00A12224" w:rsidRPr="00A12224">
        <w:rPr>
          <w:i/>
          <w:szCs w:val="22"/>
        </w:rPr>
        <w:t>MeasId</w:t>
      </w:r>
      <w:r w:rsidR="00A12224">
        <w:rPr>
          <w:szCs w:val="22"/>
        </w:rPr>
        <w:t xml:space="preserve"> associated to </w:t>
      </w:r>
      <w:r w:rsidR="00A12224" w:rsidRPr="00A12224">
        <w:rPr>
          <w:i/>
          <w:szCs w:val="22"/>
        </w:rPr>
        <w:t>CondEventA4</w:t>
      </w:r>
      <w:r w:rsidR="00A12224">
        <w:rPr>
          <w:szCs w:val="22"/>
        </w:rPr>
        <w:t xml:space="preserve"> can be activated </w:t>
      </w:r>
      <w:r w:rsidR="00A12224">
        <w:rPr>
          <w:i/>
          <w:szCs w:val="22"/>
        </w:rPr>
        <w:t>X</w:t>
      </w:r>
      <w:r w:rsidR="00A12224">
        <w:rPr>
          <w:szCs w:val="22"/>
        </w:rPr>
        <w:t xml:space="preserve"> time units before the arrival of a cell non-active period.</w:t>
      </w:r>
      <w:bookmarkEnd w:id="14"/>
      <w:bookmarkEnd w:id="15"/>
      <w:r w:rsidR="00A12224">
        <w:rPr>
          <w:szCs w:val="22"/>
        </w:rPr>
        <w:t xml:space="preserve"> </w:t>
      </w:r>
    </w:p>
    <w:p w14:paraId="5DD9F29D" w14:textId="13D14AD6" w:rsidR="00B57432" w:rsidRPr="007E52FB" w:rsidRDefault="005C590B" w:rsidP="005C590B">
      <w:pPr>
        <w:rPr>
          <w:lang w:eastAsia="zh-TW"/>
        </w:rPr>
      </w:pPr>
      <w:r>
        <w:rPr>
          <w:lang w:eastAsia="zh-TW"/>
        </w:rPr>
        <w:t xml:space="preserve">On the other hand, </w:t>
      </w:r>
      <w:r w:rsidR="00B645DE">
        <w:rPr>
          <w:lang w:eastAsia="zh-TW"/>
        </w:rPr>
        <w:t xml:space="preserve">as </w:t>
      </w:r>
      <w:r w:rsidR="003248C5">
        <w:rPr>
          <w:lang w:eastAsia="zh-TW"/>
        </w:rPr>
        <w:t xml:space="preserve">a neighbor cell may also activate </w:t>
      </w:r>
      <w:r w:rsidR="001B14C5">
        <w:rPr>
          <w:lang w:eastAsia="zh-TW"/>
        </w:rPr>
        <w:t>the</w:t>
      </w:r>
      <w:r w:rsidR="00C92CE3">
        <w:rPr>
          <w:lang w:eastAsia="zh-TW"/>
        </w:rPr>
        <w:t xml:space="preserve"> </w:t>
      </w:r>
      <w:r w:rsidR="003248C5">
        <w:rPr>
          <w:lang w:eastAsia="zh-TW"/>
        </w:rPr>
        <w:t xml:space="preserve">NES mode after </w:t>
      </w:r>
      <w:r w:rsidR="008621D8">
        <w:rPr>
          <w:lang w:eastAsia="zh-TW"/>
        </w:rPr>
        <w:t>being configured by the</w:t>
      </w:r>
      <w:r w:rsidR="003248C5">
        <w:rPr>
          <w:lang w:eastAsia="zh-TW"/>
        </w:rPr>
        <w:t xml:space="preserve"> serving cell </w:t>
      </w:r>
      <w:r w:rsidR="0047417F">
        <w:rPr>
          <w:lang w:eastAsia="zh-TW"/>
        </w:rPr>
        <w:t>as a CHO candidate cell</w:t>
      </w:r>
      <w:r w:rsidR="00414416">
        <w:rPr>
          <w:lang w:eastAsia="zh-TW"/>
        </w:rPr>
        <w:t xml:space="preserve"> for a UE</w:t>
      </w:r>
      <w:r w:rsidR="00B645DE">
        <w:rPr>
          <w:lang w:eastAsia="zh-TW"/>
        </w:rPr>
        <w:t xml:space="preserve">, it is </w:t>
      </w:r>
      <w:r w:rsidR="006B460B">
        <w:rPr>
          <w:lang w:eastAsia="zh-TW"/>
        </w:rPr>
        <w:t>better</w:t>
      </w:r>
      <w:r w:rsidR="00B645DE">
        <w:rPr>
          <w:lang w:eastAsia="zh-TW"/>
        </w:rPr>
        <w:t xml:space="preserve"> if the </w:t>
      </w:r>
      <w:r w:rsidR="008621D8">
        <w:rPr>
          <w:lang w:eastAsia="zh-TW"/>
        </w:rPr>
        <w:t>serving cell</w:t>
      </w:r>
      <w:r w:rsidR="00B645DE">
        <w:rPr>
          <w:lang w:eastAsia="zh-TW"/>
        </w:rPr>
        <w:t xml:space="preserve"> can inform the UE of whether </w:t>
      </w:r>
      <w:r w:rsidR="00BD3C09">
        <w:rPr>
          <w:lang w:eastAsia="zh-TW"/>
        </w:rPr>
        <w:t>the</w:t>
      </w:r>
      <w:r w:rsidR="00B645DE">
        <w:rPr>
          <w:lang w:eastAsia="zh-TW"/>
        </w:rPr>
        <w:t xml:space="preserve"> neighbor cell is or will be operating in the NES mode in a dynamic way. </w:t>
      </w:r>
      <w:r w:rsidR="00CD7C42">
        <w:rPr>
          <w:lang w:eastAsia="zh-TW"/>
        </w:rPr>
        <w:t xml:space="preserve">With such information, </w:t>
      </w:r>
      <w:r w:rsidR="00F330BB">
        <w:rPr>
          <w:lang w:eastAsia="zh-TW"/>
        </w:rPr>
        <w:t>the UE will be</w:t>
      </w:r>
      <w:r w:rsidR="00132AD4">
        <w:rPr>
          <w:lang w:eastAsia="zh-TW"/>
        </w:rPr>
        <w:t>come</w:t>
      </w:r>
      <w:r w:rsidR="00F330BB">
        <w:rPr>
          <w:lang w:eastAsia="zh-TW"/>
        </w:rPr>
        <w:t xml:space="preserve"> able to </w:t>
      </w:r>
      <w:r w:rsidR="00897728">
        <w:rPr>
          <w:lang w:eastAsia="zh-TW"/>
        </w:rPr>
        <w:t xml:space="preserve">dynamically adjust the CHO execution condition </w:t>
      </w:r>
      <w:r w:rsidR="00057956">
        <w:rPr>
          <w:lang w:eastAsia="zh-TW"/>
        </w:rPr>
        <w:t xml:space="preserve">(e.g., activating or deactivating </w:t>
      </w:r>
      <w:r w:rsidR="00A514BD">
        <w:rPr>
          <w:lang w:eastAsia="zh-TW"/>
        </w:rPr>
        <w:t xml:space="preserve">the </w:t>
      </w:r>
      <w:r w:rsidR="00A514BD" w:rsidRPr="00A514BD">
        <w:rPr>
          <w:i/>
          <w:lang w:eastAsia="zh-TW"/>
        </w:rPr>
        <w:t>MeasId</w:t>
      </w:r>
      <w:r w:rsidR="00A514BD">
        <w:rPr>
          <w:lang w:eastAsia="zh-TW"/>
        </w:rPr>
        <w:t xml:space="preserve"> associated to </w:t>
      </w:r>
      <w:r w:rsidR="00057956" w:rsidRPr="00A514BD">
        <w:rPr>
          <w:i/>
          <w:lang w:eastAsia="zh-TW"/>
        </w:rPr>
        <w:t>condEventA4</w:t>
      </w:r>
      <w:r w:rsidR="00057956">
        <w:rPr>
          <w:lang w:eastAsia="zh-TW"/>
        </w:rPr>
        <w:t xml:space="preserve">) </w:t>
      </w:r>
      <w:r w:rsidR="005937FE">
        <w:rPr>
          <w:lang w:eastAsia="zh-TW"/>
        </w:rPr>
        <w:t xml:space="preserve">for the neighbor </w:t>
      </w:r>
      <w:r w:rsidR="00057956">
        <w:rPr>
          <w:lang w:eastAsia="zh-TW"/>
        </w:rPr>
        <w:t>cell, based on the whether the neighbor cell is/will be activating the NES mode.</w:t>
      </w:r>
    </w:p>
    <w:p w14:paraId="2BEEA122" w14:textId="79F89566" w:rsidR="00DB4473" w:rsidRPr="009865F4" w:rsidRDefault="004B14BF" w:rsidP="00AE1DD1">
      <w:pPr>
        <w:pStyle w:val="Proposal"/>
        <w:rPr>
          <w:lang w:eastAsia="zh-TW"/>
        </w:rPr>
      </w:pPr>
      <w:bookmarkStart w:id="16" w:name="_Toc134611954"/>
      <w:bookmarkStart w:id="17" w:name="_Toc134612421"/>
      <w:r>
        <w:rPr>
          <w:lang w:eastAsia="zh-TW"/>
        </w:rPr>
        <w:t>The network can inform the UE of whether a neighbor cell is or will be operating in the NES mode. FFS on the signaling.</w:t>
      </w:r>
      <w:bookmarkEnd w:id="16"/>
      <w:bookmarkEnd w:id="17"/>
      <w:r>
        <w:rPr>
          <w:lang w:eastAsia="zh-TW"/>
        </w:rPr>
        <w:t xml:space="preserve"> </w:t>
      </w:r>
    </w:p>
    <w:p w14:paraId="4C29710F" w14:textId="08460494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  <w:r w:rsidR="00352405">
        <w:rPr>
          <w:lang w:val="en-US"/>
        </w:rPr>
        <w:t>s</w:t>
      </w:r>
    </w:p>
    <w:p w14:paraId="46F2A511" w14:textId="295B1FED" w:rsidR="00DC1736" w:rsidRDefault="003148F3" w:rsidP="003A093F">
      <w:pPr>
        <w:spacing w:after="240"/>
      </w:pPr>
      <w:r w:rsidRPr="002F25EF">
        <w:t xml:space="preserve">In this paper, </w:t>
      </w:r>
      <w:r w:rsidR="00B0419B">
        <w:t xml:space="preserve">the </w:t>
      </w:r>
      <w:r w:rsidR="00737B8C">
        <w:t>CHO enhancements for supporting NES</w:t>
      </w:r>
      <w:r w:rsidR="00B0419B">
        <w:t xml:space="preserve"> </w:t>
      </w:r>
      <w:r w:rsidR="00737B8C">
        <w:t>are</w:t>
      </w:r>
      <w:r w:rsidR="00002DC3">
        <w:t xml:space="preserve"> </w:t>
      </w:r>
      <w:r w:rsidR="00693530">
        <w:t>discussed</w:t>
      </w:r>
      <w:r w:rsidR="00E662AB">
        <w:t>,</w:t>
      </w:r>
      <w:r w:rsidR="00002DC3">
        <w:t xml:space="preserve"> with </w:t>
      </w:r>
      <w:r w:rsidR="00002DC3">
        <w:rPr>
          <w:lang w:eastAsia="zh-TW"/>
        </w:rPr>
        <w:t>the following observation</w:t>
      </w:r>
      <w:r w:rsidR="001352AD">
        <w:rPr>
          <w:lang w:eastAsia="zh-TW"/>
        </w:rPr>
        <w:t xml:space="preserve"> </w:t>
      </w:r>
      <w:r w:rsidR="00737B8C">
        <w:rPr>
          <w:lang w:eastAsia="zh-TW"/>
        </w:rPr>
        <w:t>being</w:t>
      </w:r>
      <w:r w:rsidR="00002DC3">
        <w:rPr>
          <w:lang w:eastAsia="zh-TW"/>
        </w:rPr>
        <w:t xml:space="preserve"> made.</w:t>
      </w:r>
    </w:p>
    <w:p w14:paraId="0E5C7E81" w14:textId="77777777" w:rsidR="00FF7084" w:rsidRDefault="00DC1736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FF7084" w:rsidRPr="00FF2833">
        <w:rPr>
          <w:bCs/>
          <w:lang w:eastAsia="zh-TW"/>
        </w:rPr>
        <w:t>Observation 1</w:t>
      </w:r>
      <w:r w:rsidR="00FF7084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FF7084" w:rsidRPr="00FF2833">
        <w:rPr>
          <w:i/>
          <w:lang w:eastAsia="zh-TW"/>
        </w:rPr>
        <w:t>CondEventA4</w:t>
      </w:r>
      <w:r w:rsidR="00FF7084">
        <w:rPr>
          <w:lang w:eastAsia="zh-TW"/>
        </w:rPr>
        <w:t xml:space="preserve"> is an ideal CHO execution condition that allows UE to move to a candidate neighbor cell easier before the serving cell enters the “NES mode”, but is only applicable in the NTN scenario.</w:t>
      </w:r>
    </w:p>
    <w:p w14:paraId="31634E54" w14:textId="11874B32" w:rsidR="003148F3" w:rsidRDefault="00DC1736" w:rsidP="00032BDC">
      <w:r>
        <w:fldChar w:fldCharType="end"/>
      </w:r>
      <w:r w:rsidR="003148F3" w:rsidRPr="002F25EF">
        <w:t xml:space="preserve">Based on the </w:t>
      </w:r>
      <w:r w:rsidR="00A80A62">
        <w:t xml:space="preserve">observations and </w:t>
      </w:r>
      <w:r w:rsidR="00C3628C">
        <w:t xml:space="preserve">discussion </w:t>
      </w:r>
      <w:r w:rsidR="00042716">
        <w:t>in this paper</w:t>
      </w:r>
      <w:r w:rsidR="003148F3" w:rsidRPr="002F25EF">
        <w:t>, we respectfully ask RAN2 to discuss and consider the following proposals.</w:t>
      </w:r>
    </w:p>
    <w:p w14:paraId="7CC0FA61" w14:textId="77777777" w:rsidR="00B96841" w:rsidRPr="00B96841" w:rsidRDefault="000244D1" w:rsidP="00B96841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B96841">
        <w:rPr>
          <w:b/>
          <w:bCs/>
          <w:lang w:eastAsia="zh-TW"/>
        </w:rPr>
        <w:fldChar w:fldCharType="begin"/>
      </w:r>
      <w:r w:rsidRPr="00B96841">
        <w:rPr>
          <w:b/>
          <w:bCs/>
          <w:lang w:eastAsia="zh-TW"/>
        </w:rPr>
        <w:instrText xml:space="preserve"> TOC \n \t "Proposal" \c </w:instrText>
      </w:r>
      <w:r w:rsidRPr="00B96841">
        <w:rPr>
          <w:b/>
          <w:bCs/>
          <w:lang w:eastAsia="zh-TW"/>
        </w:rPr>
        <w:fldChar w:fldCharType="separate"/>
      </w:r>
      <w:r w:rsidR="00B96841" w:rsidRPr="00B96841">
        <w:rPr>
          <w:b/>
          <w:noProof/>
          <w:lang w:eastAsia="zh-TW"/>
        </w:rPr>
        <w:t>Proposal 1</w:t>
      </w:r>
      <w:r w:rsidR="00B96841" w:rsidRPr="00B96841">
        <w:rPr>
          <w:b/>
          <w:noProof/>
          <w:sz w:val="22"/>
          <w:szCs w:val="22"/>
          <w:lang w:eastAsia="zh-TW"/>
        </w:rPr>
        <w:tab/>
      </w:r>
      <w:r w:rsidR="00B96841" w:rsidRPr="00B96841">
        <w:rPr>
          <w:b/>
          <w:i/>
          <w:noProof/>
        </w:rPr>
        <w:t>CondEventA4</w:t>
      </w:r>
      <w:r w:rsidR="00B96841" w:rsidRPr="00B96841">
        <w:rPr>
          <w:b/>
          <w:noProof/>
        </w:rPr>
        <w:t xml:space="preserve"> can be configured as a CHO execution condition in the NES scenario.</w:t>
      </w:r>
    </w:p>
    <w:p w14:paraId="12526629" w14:textId="77777777" w:rsidR="00B96841" w:rsidRPr="00B96841" w:rsidRDefault="00B96841" w:rsidP="00B96841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B96841">
        <w:rPr>
          <w:b/>
          <w:noProof/>
          <w:lang w:eastAsia="zh-TW"/>
        </w:rPr>
        <w:t>Proposal 2</w:t>
      </w:r>
      <w:r w:rsidRPr="00B96841">
        <w:rPr>
          <w:b/>
          <w:noProof/>
          <w:sz w:val="22"/>
          <w:szCs w:val="22"/>
          <w:lang w:eastAsia="zh-TW"/>
        </w:rPr>
        <w:tab/>
      </w:r>
      <w:r w:rsidRPr="00B96841">
        <w:rPr>
          <w:b/>
          <w:noProof/>
        </w:rPr>
        <w:t xml:space="preserve">The </w:t>
      </w:r>
      <w:r w:rsidRPr="00B96841">
        <w:rPr>
          <w:b/>
          <w:i/>
          <w:noProof/>
        </w:rPr>
        <w:t>MeasId</w:t>
      </w:r>
      <w:r w:rsidRPr="00B96841">
        <w:rPr>
          <w:b/>
          <w:noProof/>
        </w:rPr>
        <w:t xml:space="preserve"> associated to </w:t>
      </w:r>
      <w:r w:rsidRPr="00B96841">
        <w:rPr>
          <w:b/>
          <w:i/>
          <w:noProof/>
        </w:rPr>
        <w:t>condEventA4</w:t>
      </w:r>
      <w:r w:rsidRPr="00B96841">
        <w:rPr>
          <w:b/>
          <w:noProof/>
        </w:rPr>
        <w:t xml:space="preserve"> can be deactivated upon being configured to a NES-compatible UE. FFS on how to deactivate the </w:t>
      </w:r>
      <w:r w:rsidRPr="00B96841">
        <w:rPr>
          <w:b/>
          <w:i/>
          <w:noProof/>
        </w:rPr>
        <w:t>MeasID</w:t>
      </w:r>
      <w:r w:rsidRPr="00B96841">
        <w:rPr>
          <w:b/>
          <w:noProof/>
        </w:rPr>
        <w:t xml:space="preserve"> associated to </w:t>
      </w:r>
      <w:r w:rsidRPr="00B96841">
        <w:rPr>
          <w:b/>
          <w:i/>
          <w:noProof/>
        </w:rPr>
        <w:t>condEventA4</w:t>
      </w:r>
      <w:r w:rsidRPr="00B96841">
        <w:rPr>
          <w:b/>
          <w:noProof/>
        </w:rPr>
        <w:t xml:space="preserve"> (e.g., implicitly or explicitly deactivate).</w:t>
      </w:r>
    </w:p>
    <w:p w14:paraId="7E25DD60" w14:textId="77777777" w:rsidR="00B96841" w:rsidRPr="00B96841" w:rsidRDefault="00B96841" w:rsidP="00B96841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B96841">
        <w:rPr>
          <w:b/>
          <w:noProof/>
          <w:lang w:eastAsia="zh-TW"/>
        </w:rPr>
        <w:t>Proposal 3</w:t>
      </w:r>
      <w:r w:rsidRPr="00B96841">
        <w:rPr>
          <w:b/>
          <w:noProof/>
          <w:sz w:val="22"/>
          <w:szCs w:val="22"/>
          <w:lang w:eastAsia="zh-TW"/>
        </w:rPr>
        <w:tab/>
      </w:r>
      <w:r w:rsidRPr="00B96841">
        <w:rPr>
          <w:b/>
          <w:noProof/>
        </w:rPr>
        <w:t xml:space="preserve">The </w:t>
      </w:r>
      <w:r w:rsidRPr="00B96841">
        <w:rPr>
          <w:b/>
          <w:i/>
          <w:noProof/>
        </w:rPr>
        <w:t>MeasId</w:t>
      </w:r>
      <w:r w:rsidRPr="00B96841">
        <w:rPr>
          <w:b/>
          <w:noProof/>
        </w:rPr>
        <w:t xml:space="preserve"> associated to </w:t>
      </w:r>
      <w:r w:rsidRPr="00B96841">
        <w:rPr>
          <w:b/>
          <w:i/>
          <w:noProof/>
        </w:rPr>
        <w:t>CondEventA4</w:t>
      </w:r>
      <w:r w:rsidRPr="00B96841">
        <w:rPr>
          <w:b/>
          <w:noProof/>
        </w:rPr>
        <w:t xml:space="preserve"> can be activated upon the activation of a cell DTX/DRX/NES mode. FFS whether the </w:t>
      </w:r>
      <w:r w:rsidRPr="00B96841">
        <w:rPr>
          <w:b/>
          <w:i/>
          <w:noProof/>
        </w:rPr>
        <w:t>MeasId</w:t>
      </w:r>
      <w:r w:rsidRPr="00B96841">
        <w:rPr>
          <w:b/>
          <w:noProof/>
        </w:rPr>
        <w:t xml:space="preserve"> associated to </w:t>
      </w:r>
      <w:r w:rsidRPr="00B96841">
        <w:rPr>
          <w:b/>
          <w:i/>
          <w:noProof/>
        </w:rPr>
        <w:t>CondEventA4</w:t>
      </w:r>
      <w:r w:rsidRPr="00B96841">
        <w:rPr>
          <w:b/>
          <w:noProof/>
        </w:rPr>
        <w:t xml:space="preserve"> can be activated </w:t>
      </w:r>
      <w:r w:rsidRPr="00B96841">
        <w:rPr>
          <w:b/>
          <w:i/>
          <w:noProof/>
        </w:rPr>
        <w:t>X</w:t>
      </w:r>
      <w:r w:rsidRPr="00B96841">
        <w:rPr>
          <w:b/>
          <w:noProof/>
        </w:rPr>
        <w:t xml:space="preserve"> time units before the arrival of a cell non-active period.</w:t>
      </w:r>
    </w:p>
    <w:p w14:paraId="3E375421" w14:textId="6EE1CE54" w:rsidR="003148F3" w:rsidRDefault="00B96841" w:rsidP="00B96841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</w:pPr>
      <w:r w:rsidRPr="00B96841">
        <w:rPr>
          <w:b/>
          <w:noProof/>
          <w:lang w:eastAsia="zh-TW"/>
        </w:rPr>
        <w:t>Proposal 4</w:t>
      </w:r>
      <w:r w:rsidRPr="00B96841">
        <w:rPr>
          <w:b/>
          <w:noProof/>
          <w:sz w:val="22"/>
          <w:szCs w:val="22"/>
          <w:lang w:eastAsia="zh-TW"/>
        </w:rPr>
        <w:tab/>
      </w:r>
      <w:r w:rsidRPr="00B96841">
        <w:rPr>
          <w:b/>
          <w:noProof/>
          <w:lang w:eastAsia="zh-TW"/>
        </w:rPr>
        <w:t>The network can inform the UE of whether a neighbor cell is or will be operating in the NES mode. FFS on the signaling.</w:t>
      </w:r>
      <w:r w:rsidR="000244D1" w:rsidRPr="00B96841">
        <w:rPr>
          <w:b/>
          <w:bCs/>
          <w:lang w:eastAsia="zh-TW"/>
        </w:rPr>
        <w:fldChar w:fldCharType="end"/>
      </w:r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7146E422" w14:textId="2E537EE1" w:rsidR="008F363A" w:rsidRDefault="00603AD9" w:rsidP="00746B9C">
      <w:pPr>
        <w:pStyle w:val="Reference"/>
        <w:jc w:val="left"/>
        <w:rPr>
          <w:lang w:eastAsia="en-US"/>
        </w:rPr>
      </w:pPr>
      <w:r>
        <w:t>Draft Report of 3GPP TSG RAN WG2 meeting #121bis_e.</w:t>
      </w:r>
    </w:p>
    <w:p w14:paraId="005B438F" w14:textId="4304BA10" w:rsidR="00746B9C" w:rsidRPr="00AC07B3" w:rsidRDefault="00610778" w:rsidP="008F363A">
      <w:pPr>
        <w:pStyle w:val="Reference"/>
        <w:rPr>
          <w:lang w:eastAsia="en-US"/>
        </w:rPr>
      </w:pPr>
      <w:r>
        <w:t>3GPP T</w:t>
      </w:r>
      <w:r w:rsidR="008F363A">
        <w:t>R</w:t>
      </w:r>
      <w:r>
        <w:t xml:space="preserve"> 3</w:t>
      </w:r>
      <w:r w:rsidR="008F363A">
        <w:t>8</w:t>
      </w:r>
      <w:r>
        <w:t>.</w:t>
      </w:r>
      <w:r w:rsidR="008F363A">
        <w:t>864</w:t>
      </w:r>
      <w:r>
        <w:t xml:space="preserve"> v</w:t>
      </w:r>
      <w:r w:rsidR="008F363A">
        <w:t>1</w:t>
      </w:r>
      <w:r>
        <w:t>.</w:t>
      </w:r>
      <w:r w:rsidR="008F363A">
        <w:t>0</w:t>
      </w:r>
      <w:r>
        <w:t>.0</w:t>
      </w:r>
      <w:r w:rsidR="002F7C0F">
        <w:t xml:space="preserve">, </w:t>
      </w:r>
      <w:r w:rsidR="008F363A" w:rsidRPr="008F363A">
        <w:t>Study on network energy savings for NR</w:t>
      </w:r>
      <w:r w:rsidR="00746B9C" w:rsidRPr="00465B3F">
        <w:rPr>
          <w:rFonts w:eastAsia="新細明體"/>
        </w:rPr>
        <w:t>.</w:t>
      </w:r>
    </w:p>
    <w:p w14:paraId="4F3E3B82" w14:textId="5162A9A2" w:rsidR="006E3608" w:rsidRPr="00141BC3" w:rsidRDefault="00D848DC" w:rsidP="00612BAC">
      <w:pPr>
        <w:pStyle w:val="Reference"/>
      </w:pPr>
      <w:r>
        <w:rPr>
          <w:szCs w:val="22"/>
        </w:rPr>
        <w:t xml:space="preserve">3GPP TS </w:t>
      </w:r>
      <w:r w:rsidR="00ED4395">
        <w:rPr>
          <w:szCs w:val="22"/>
        </w:rPr>
        <w:t>38</w:t>
      </w:r>
      <w:r>
        <w:rPr>
          <w:szCs w:val="22"/>
        </w:rPr>
        <w:t>.</w:t>
      </w:r>
      <w:r w:rsidR="00ED4395">
        <w:rPr>
          <w:szCs w:val="22"/>
        </w:rPr>
        <w:t>331</w:t>
      </w:r>
      <w:r>
        <w:rPr>
          <w:szCs w:val="22"/>
        </w:rPr>
        <w:t xml:space="preserve"> v18.1.0</w:t>
      </w:r>
      <w:r w:rsidR="007142C2">
        <w:t xml:space="preserve">, </w:t>
      </w:r>
      <w:r w:rsidR="00612BAC">
        <w:t xml:space="preserve">NR, </w:t>
      </w:r>
      <w:r w:rsidR="00612BAC" w:rsidRPr="00612BAC">
        <w:t>Radio Resource Control (RRC) protocol specification</w:t>
      </w:r>
      <w:r w:rsidR="00671BC2">
        <w:rPr>
          <w:rFonts w:eastAsia="新細明體"/>
        </w:rPr>
        <w:t>.</w:t>
      </w:r>
    </w:p>
    <w:sectPr w:rsidR="006E3608" w:rsidRPr="00141BC3" w:rsidSect="00B8662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A2AD9" w14:textId="77777777" w:rsidR="00603FF9" w:rsidRDefault="00603FF9" w:rsidP="006B14CE">
      <w:pPr>
        <w:spacing w:after="0"/>
      </w:pPr>
      <w:r>
        <w:separator/>
      </w:r>
    </w:p>
  </w:endnote>
  <w:endnote w:type="continuationSeparator" w:id="0">
    <w:p w14:paraId="4317B0CD" w14:textId="77777777" w:rsidR="00603FF9" w:rsidRDefault="00603FF9" w:rsidP="006B1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C1EE1" w14:textId="77777777" w:rsidR="00603FF9" w:rsidRDefault="00603FF9" w:rsidP="006B14CE">
      <w:pPr>
        <w:spacing w:after="0"/>
      </w:pPr>
      <w:r>
        <w:separator/>
      </w:r>
    </w:p>
  </w:footnote>
  <w:footnote w:type="continuationSeparator" w:id="0">
    <w:p w14:paraId="49D58F55" w14:textId="77777777" w:rsidR="00603FF9" w:rsidRDefault="00603FF9" w:rsidP="006B1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3727"/>
    <w:multiLevelType w:val="hybridMultilevel"/>
    <w:tmpl w:val="F36E52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4665"/>
    <w:multiLevelType w:val="hybridMultilevel"/>
    <w:tmpl w:val="906E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07F8F"/>
    <w:multiLevelType w:val="hybridMultilevel"/>
    <w:tmpl w:val="5A6417A8"/>
    <w:lvl w:ilvl="0" w:tplc="9A681C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5"/>
  </w:num>
  <w:num w:numId="5">
    <w:abstractNumId w:val="9"/>
  </w:num>
  <w:num w:numId="6">
    <w:abstractNumId w:val="0"/>
  </w:num>
  <w:num w:numId="7">
    <w:abstractNumId w:val="6"/>
  </w:num>
  <w:num w:numId="8">
    <w:abstractNumId w:val="16"/>
  </w:num>
  <w:num w:numId="9">
    <w:abstractNumId w:val="14"/>
  </w:num>
  <w:num w:numId="10">
    <w:abstractNumId w:val="4"/>
  </w:num>
  <w:num w:numId="11">
    <w:abstractNumId w:val="11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814"/>
    <w:rsid w:val="000026BD"/>
    <w:rsid w:val="00002DC3"/>
    <w:rsid w:val="00004007"/>
    <w:rsid w:val="00006A0B"/>
    <w:rsid w:val="0001124D"/>
    <w:rsid w:val="0001353D"/>
    <w:rsid w:val="000144AC"/>
    <w:rsid w:val="00014E3C"/>
    <w:rsid w:val="000157B7"/>
    <w:rsid w:val="00015E9A"/>
    <w:rsid w:val="000218F7"/>
    <w:rsid w:val="00021D25"/>
    <w:rsid w:val="000223C6"/>
    <w:rsid w:val="000240FF"/>
    <w:rsid w:val="000244D1"/>
    <w:rsid w:val="00032BDC"/>
    <w:rsid w:val="00033524"/>
    <w:rsid w:val="00034B65"/>
    <w:rsid w:val="000365B0"/>
    <w:rsid w:val="00040E77"/>
    <w:rsid w:val="00042716"/>
    <w:rsid w:val="00042D48"/>
    <w:rsid w:val="0004305F"/>
    <w:rsid w:val="00043F91"/>
    <w:rsid w:val="0004564A"/>
    <w:rsid w:val="00047569"/>
    <w:rsid w:val="00050838"/>
    <w:rsid w:val="000514DB"/>
    <w:rsid w:val="00057956"/>
    <w:rsid w:val="0006041F"/>
    <w:rsid w:val="000643BD"/>
    <w:rsid w:val="000727E7"/>
    <w:rsid w:val="000738BC"/>
    <w:rsid w:val="000745A7"/>
    <w:rsid w:val="0007724F"/>
    <w:rsid w:val="0008016B"/>
    <w:rsid w:val="000805E6"/>
    <w:rsid w:val="0008272D"/>
    <w:rsid w:val="00084BA5"/>
    <w:rsid w:val="000866CC"/>
    <w:rsid w:val="00090607"/>
    <w:rsid w:val="0009501F"/>
    <w:rsid w:val="00097172"/>
    <w:rsid w:val="00097D9B"/>
    <w:rsid w:val="000A198D"/>
    <w:rsid w:val="000A2B6F"/>
    <w:rsid w:val="000A549E"/>
    <w:rsid w:val="000A5E9D"/>
    <w:rsid w:val="000A69A1"/>
    <w:rsid w:val="000A710A"/>
    <w:rsid w:val="000A710D"/>
    <w:rsid w:val="000A7790"/>
    <w:rsid w:val="000B34D0"/>
    <w:rsid w:val="000B606F"/>
    <w:rsid w:val="000B609C"/>
    <w:rsid w:val="000B79B7"/>
    <w:rsid w:val="000C0F04"/>
    <w:rsid w:val="000C624C"/>
    <w:rsid w:val="000C6BAD"/>
    <w:rsid w:val="000D3F72"/>
    <w:rsid w:val="000E21C1"/>
    <w:rsid w:val="000E25C3"/>
    <w:rsid w:val="000E3722"/>
    <w:rsid w:val="000E7390"/>
    <w:rsid w:val="000F0264"/>
    <w:rsid w:val="000F0731"/>
    <w:rsid w:val="000F172A"/>
    <w:rsid w:val="000F2CED"/>
    <w:rsid w:val="000F4B9E"/>
    <w:rsid w:val="000F5254"/>
    <w:rsid w:val="000F710B"/>
    <w:rsid w:val="000F7D57"/>
    <w:rsid w:val="00100419"/>
    <w:rsid w:val="00100661"/>
    <w:rsid w:val="00101953"/>
    <w:rsid w:val="00102169"/>
    <w:rsid w:val="00102345"/>
    <w:rsid w:val="001040E6"/>
    <w:rsid w:val="001041E1"/>
    <w:rsid w:val="0010464C"/>
    <w:rsid w:val="001118EE"/>
    <w:rsid w:val="0011202F"/>
    <w:rsid w:val="00113FFF"/>
    <w:rsid w:val="001172FC"/>
    <w:rsid w:val="00117331"/>
    <w:rsid w:val="0012084C"/>
    <w:rsid w:val="00120BBD"/>
    <w:rsid w:val="00124A2C"/>
    <w:rsid w:val="001253C1"/>
    <w:rsid w:val="00130886"/>
    <w:rsid w:val="00131C9F"/>
    <w:rsid w:val="00132AD4"/>
    <w:rsid w:val="00132F14"/>
    <w:rsid w:val="00133BC9"/>
    <w:rsid w:val="00134E77"/>
    <w:rsid w:val="001352AD"/>
    <w:rsid w:val="001373AA"/>
    <w:rsid w:val="00141BC3"/>
    <w:rsid w:val="00143257"/>
    <w:rsid w:val="00143B8B"/>
    <w:rsid w:val="00143D72"/>
    <w:rsid w:val="00144399"/>
    <w:rsid w:val="00147AF2"/>
    <w:rsid w:val="0015057E"/>
    <w:rsid w:val="00153D6E"/>
    <w:rsid w:val="00154906"/>
    <w:rsid w:val="00154D0A"/>
    <w:rsid w:val="0015755D"/>
    <w:rsid w:val="00160460"/>
    <w:rsid w:val="00160B1A"/>
    <w:rsid w:val="00163E10"/>
    <w:rsid w:val="001644A4"/>
    <w:rsid w:val="00166B48"/>
    <w:rsid w:val="00167267"/>
    <w:rsid w:val="00171506"/>
    <w:rsid w:val="0017178D"/>
    <w:rsid w:val="00173211"/>
    <w:rsid w:val="001746BD"/>
    <w:rsid w:val="0017478A"/>
    <w:rsid w:val="00175513"/>
    <w:rsid w:val="00182980"/>
    <w:rsid w:val="001834C7"/>
    <w:rsid w:val="00183CD9"/>
    <w:rsid w:val="0018442F"/>
    <w:rsid w:val="001856A2"/>
    <w:rsid w:val="00186203"/>
    <w:rsid w:val="001871C1"/>
    <w:rsid w:val="001902B9"/>
    <w:rsid w:val="0019070B"/>
    <w:rsid w:val="00190BE2"/>
    <w:rsid w:val="0019146F"/>
    <w:rsid w:val="001919F4"/>
    <w:rsid w:val="001921F9"/>
    <w:rsid w:val="0019231D"/>
    <w:rsid w:val="00197B28"/>
    <w:rsid w:val="001A2694"/>
    <w:rsid w:val="001A2A40"/>
    <w:rsid w:val="001A3B7F"/>
    <w:rsid w:val="001A6490"/>
    <w:rsid w:val="001A791F"/>
    <w:rsid w:val="001B14C5"/>
    <w:rsid w:val="001B1A92"/>
    <w:rsid w:val="001B25AE"/>
    <w:rsid w:val="001B3883"/>
    <w:rsid w:val="001B4C26"/>
    <w:rsid w:val="001B4DE3"/>
    <w:rsid w:val="001C26D3"/>
    <w:rsid w:val="001C323F"/>
    <w:rsid w:val="001C3245"/>
    <w:rsid w:val="001C3557"/>
    <w:rsid w:val="001C5446"/>
    <w:rsid w:val="001C6558"/>
    <w:rsid w:val="001D1376"/>
    <w:rsid w:val="001D2A04"/>
    <w:rsid w:val="001D541F"/>
    <w:rsid w:val="001D77C0"/>
    <w:rsid w:val="001E084B"/>
    <w:rsid w:val="001E4C5D"/>
    <w:rsid w:val="001E6A10"/>
    <w:rsid w:val="001F60FA"/>
    <w:rsid w:val="00200BE9"/>
    <w:rsid w:val="002026C9"/>
    <w:rsid w:val="002056F4"/>
    <w:rsid w:val="002104E9"/>
    <w:rsid w:val="00213F9D"/>
    <w:rsid w:val="00215D99"/>
    <w:rsid w:val="00216CE3"/>
    <w:rsid w:val="00217613"/>
    <w:rsid w:val="0022401D"/>
    <w:rsid w:val="002260B7"/>
    <w:rsid w:val="002268E2"/>
    <w:rsid w:val="00230BC7"/>
    <w:rsid w:val="00235B4A"/>
    <w:rsid w:val="00235EE2"/>
    <w:rsid w:val="00237841"/>
    <w:rsid w:val="00240BC1"/>
    <w:rsid w:val="0024263D"/>
    <w:rsid w:val="00244EBF"/>
    <w:rsid w:val="00254B91"/>
    <w:rsid w:val="002575D0"/>
    <w:rsid w:val="00261337"/>
    <w:rsid w:val="002652D4"/>
    <w:rsid w:val="00265DC4"/>
    <w:rsid w:val="00267639"/>
    <w:rsid w:val="002733E3"/>
    <w:rsid w:val="00274E8A"/>
    <w:rsid w:val="00280032"/>
    <w:rsid w:val="00280415"/>
    <w:rsid w:val="00281A58"/>
    <w:rsid w:val="00282ACC"/>
    <w:rsid w:val="0029207D"/>
    <w:rsid w:val="002949E1"/>
    <w:rsid w:val="00295CCA"/>
    <w:rsid w:val="002A05E7"/>
    <w:rsid w:val="002A1B1D"/>
    <w:rsid w:val="002A7C43"/>
    <w:rsid w:val="002B02B6"/>
    <w:rsid w:val="002B102F"/>
    <w:rsid w:val="002B470A"/>
    <w:rsid w:val="002B5637"/>
    <w:rsid w:val="002B6788"/>
    <w:rsid w:val="002C1DBD"/>
    <w:rsid w:val="002C3EE9"/>
    <w:rsid w:val="002C55D4"/>
    <w:rsid w:val="002C777A"/>
    <w:rsid w:val="002C7EB8"/>
    <w:rsid w:val="002D06A9"/>
    <w:rsid w:val="002D2096"/>
    <w:rsid w:val="002D361E"/>
    <w:rsid w:val="002D55B3"/>
    <w:rsid w:val="002D663B"/>
    <w:rsid w:val="002D68A1"/>
    <w:rsid w:val="002D6C7E"/>
    <w:rsid w:val="002F0716"/>
    <w:rsid w:val="002F2433"/>
    <w:rsid w:val="002F77F0"/>
    <w:rsid w:val="002F7C0F"/>
    <w:rsid w:val="003003A3"/>
    <w:rsid w:val="00301E77"/>
    <w:rsid w:val="00303142"/>
    <w:rsid w:val="00304025"/>
    <w:rsid w:val="00306BFE"/>
    <w:rsid w:val="00307574"/>
    <w:rsid w:val="00307ACC"/>
    <w:rsid w:val="003100CE"/>
    <w:rsid w:val="00311F5D"/>
    <w:rsid w:val="003148F3"/>
    <w:rsid w:val="00322331"/>
    <w:rsid w:val="003248C5"/>
    <w:rsid w:val="003262BA"/>
    <w:rsid w:val="0032640C"/>
    <w:rsid w:val="00327987"/>
    <w:rsid w:val="003279D4"/>
    <w:rsid w:val="00344DAB"/>
    <w:rsid w:val="0034630A"/>
    <w:rsid w:val="00347481"/>
    <w:rsid w:val="00347E77"/>
    <w:rsid w:val="0035192A"/>
    <w:rsid w:val="00352405"/>
    <w:rsid w:val="003524B8"/>
    <w:rsid w:val="00352ABE"/>
    <w:rsid w:val="00354FEA"/>
    <w:rsid w:val="0036067A"/>
    <w:rsid w:val="00360999"/>
    <w:rsid w:val="003643F8"/>
    <w:rsid w:val="0036525A"/>
    <w:rsid w:val="00367D59"/>
    <w:rsid w:val="00372E68"/>
    <w:rsid w:val="00373786"/>
    <w:rsid w:val="003764F0"/>
    <w:rsid w:val="0038462D"/>
    <w:rsid w:val="00386E26"/>
    <w:rsid w:val="00393D5B"/>
    <w:rsid w:val="003A093F"/>
    <w:rsid w:val="003A19DD"/>
    <w:rsid w:val="003A2E97"/>
    <w:rsid w:val="003B0352"/>
    <w:rsid w:val="003B036D"/>
    <w:rsid w:val="003B0D1A"/>
    <w:rsid w:val="003C0873"/>
    <w:rsid w:val="003C3727"/>
    <w:rsid w:val="003C75FD"/>
    <w:rsid w:val="003C7B16"/>
    <w:rsid w:val="003D1F58"/>
    <w:rsid w:val="003D3E2F"/>
    <w:rsid w:val="003E0432"/>
    <w:rsid w:val="003E093F"/>
    <w:rsid w:val="003E723D"/>
    <w:rsid w:val="003F15F3"/>
    <w:rsid w:val="003F64C7"/>
    <w:rsid w:val="003F73E5"/>
    <w:rsid w:val="004002EA"/>
    <w:rsid w:val="004018F7"/>
    <w:rsid w:val="00402A45"/>
    <w:rsid w:val="00403BEF"/>
    <w:rsid w:val="004046C1"/>
    <w:rsid w:val="00406EE8"/>
    <w:rsid w:val="0040768E"/>
    <w:rsid w:val="004077FF"/>
    <w:rsid w:val="00412FFF"/>
    <w:rsid w:val="0041371B"/>
    <w:rsid w:val="00414416"/>
    <w:rsid w:val="0041535F"/>
    <w:rsid w:val="0041778B"/>
    <w:rsid w:val="00420CF5"/>
    <w:rsid w:val="004219DF"/>
    <w:rsid w:val="00423387"/>
    <w:rsid w:val="0042665F"/>
    <w:rsid w:val="0042707A"/>
    <w:rsid w:val="004278A1"/>
    <w:rsid w:val="004279E4"/>
    <w:rsid w:val="00427E70"/>
    <w:rsid w:val="00436BB1"/>
    <w:rsid w:val="00442686"/>
    <w:rsid w:val="0044596F"/>
    <w:rsid w:val="0045254D"/>
    <w:rsid w:val="00453036"/>
    <w:rsid w:val="00453948"/>
    <w:rsid w:val="00465A21"/>
    <w:rsid w:val="00467C8A"/>
    <w:rsid w:val="0047417F"/>
    <w:rsid w:val="0047603D"/>
    <w:rsid w:val="00477B70"/>
    <w:rsid w:val="00480541"/>
    <w:rsid w:val="0048175A"/>
    <w:rsid w:val="004852CC"/>
    <w:rsid w:val="00486A48"/>
    <w:rsid w:val="00486CA2"/>
    <w:rsid w:val="004903F4"/>
    <w:rsid w:val="00490CDB"/>
    <w:rsid w:val="004943AB"/>
    <w:rsid w:val="004967BE"/>
    <w:rsid w:val="00496F9B"/>
    <w:rsid w:val="0049738E"/>
    <w:rsid w:val="004A0A25"/>
    <w:rsid w:val="004A2AC2"/>
    <w:rsid w:val="004A32F7"/>
    <w:rsid w:val="004A473B"/>
    <w:rsid w:val="004A4A7E"/>
    <w:rsid w:val="004A5788"/>
    <w:rsid w:val="004A5BC1"/>
    <w:rsid w:val="004A5D5C"/>
    <w:rsid w:val="004A74DB"/>
    <w:rsid w:val="004A7E1E"/>
    <w:rsid w:val="004A7E78"/>
    <w:rsid w:val="004B14BF"/>
    <w:rsid w:val="004B1713"/>
    <w:rsid w:val="004B317F"/>
    <w:rsid w:val="004B41DB"/>
    <w:rsid w:val="004C0BBF"/>
    <w:rsid w:val="004C337C"/>
    <w:rsid w:val="004D04A8"/>
    <w:rsid w:val="004D1F4B"/>
    <w:rsid w:val="004D2C39"/>
    <w:rsid w:val="004D533D"/>
    <w:rsid w:val="004D728F"/>
    <w:rsid w:val="004E52D7"/>
    <w:rsid w:val="004E60D9"/>
    <w:rsid w:val="004E6A30"/>
    <w:rsid w:val="004E7334"/>
    <w:rsid w:val="004F250C"/>
    <w:rsid w:val="004F2530"/>
    <w:rsid w:val="004F2770"/>
    <w:rsid w:val="004F391F"/>
    <w:rsid w:val="004F48FF"/>
    <w:rsid w:val="004F61F4"/>
    <w:rsid w:val="004F6A0A"/>
    <w:rsid w:val="004F70F2"/>
    <w:rsid w:val="00505678"/>
    <w:rsid w:val="005056BC"/>
    <w:rsid w:val="00505E42"/>
    <w:rsid w:val="0050672C"/>
    <w:rsid w:val="00510B16"/>
    <w:rsid w:val="00511CC9"/>
    <w:rsid w:val="005132C2"/>
    <w:rsid w:val="005164DB"/>
    <w:rsid w:val="005209A4"/>
    <w:rsid w:val="00521A8C"/>
    <w:rsid w:val="00522039"/>
    <w:rsid w:val="00522170"/>
    <w:rsid w:val="005225E8"/>
    <w:rsid w:val="00523D52"/>
    <w:rsid w:val="00524FEB"/>
    <w:rsid w:val="00525110"/>
    <w:rsid w:val="005254BA"/>
    <w:rsid w:val="00527C10"/>
    <w:rsid w:val="00531ADF"/>
    <w:rsid w:val="00532567"/>
    <w:rsid w:val="005327FC"/>
    <w:rsid w:val="00533F3F"/>
    <w:rsid w:val="005378C5"/>
    <w:rsid w:val="00540F32"/>
    <w:rsid w:val="00541A1B"/>
    <w:rsid w:val="00542A8F"/>
    <w:rsid w:val="00547B13"/>
    <w:rsid w:val="00552257"/>
    <w:rsid w:val="00554E67"/>
    <w:rsid w:val="005613D3"/>
    <w:rsid w:val="00561745"/>
    <w:rsid w:val="00562827"/>
    <w:rsid w:val="00564696"/>
    <w:rsid w:val="005659B7"/>
    <w:rsid w:val="00570AE4"/>
    <w:rsid w:val="00572954"/>
    <w:rsid w:val="00577A77"/>
    <w:rsid w:val="00580B06"/>
    <w:rsid w:val="00581690"/>
    <w:rsid w:val="00585EF4"/>
    <w:rsid w:val="0058722E"/>
    <w:rsid w:val="00587526"/>
    <w:rsid w:val="0058782A"/>
    <w:rsid w:val="005937FE"/>
    <w:rsid w:val="00596733"/>
    <w:rsid w:val="00596BD9"/>
    <w:rsid w:val="005A0B13"/>
    <w:rsid w:val="005A0C32"/>
    <w:rsid w:val="005A2CCB"/>
    <w:rsid w:val="005A2F0E"/>
    <w:rsid w:val="005A531D"/>
    <w:rsid w:val="005A6E97"/>
    <w:rsid w:val="005A7E32"/>
    <w:rsid w:val="005B03FA"/>
    <w:rsid w:val="005B350C"/>
    <w:rsid w:val="005B421A"/>
    <w:rsid w:val="005B4979"/>
    <w:rsid w:val="005B56FA"/>
    <w:rsid w:val="005B57A5"/>
    <w:rsid w:val="005C0BE5"/>
    <w:rsid w:val="005C590B"/>
    <w:rsid w:val="005C6A4F"/>
    <w:rsid w:val="005D0C2B"/>
    <w:rsid w:val="005D1BBE"/>
    <w:rsid w:val="005D2E7A"/>
    <w:rsid w:val="005D3529"/>
    <w:rsid w:val="005D4A6E"/>
    <w:rsid w:val="005D63AE"/>
    <w:rsid w:val="005D6590"/>
    <w:rsid w:val="005D6BC6"/>
    <w:rsid w:val="005D725D"/>
    <w:rsid w:val="005E0421"/>
    <w:rsid w:val="005E0AA0"/>
    <w:rsid w:val="005E5135"/>
    <w:rsid w:val="005E7C71"/>
    <w:rsid w:val="005F08CA"/>
    <w:rsid w:val="005F6274"/>
    <w:rsid w:val="005F7143"/>
    <w:rsid w:val="00603AD9"/>
    <w:rsid w:val="00603FF9"/>
    <w:rsid w:val="0060436B"/>
    <w:rsid w:val="006054E0"/>
    <w:rsid w:val="00607A87"/>
    <w:rsid w:val="00607F37"/>
    <w:rsid w:val="00610778"/>
    <w:rsid w:val="00612BAC"/>
    <w:rsid w:val="00614105"/>
    <w:rsid w:val="00616095"/>
    <w:rsid w:val="00616A04"/>
    <w:rsid w:val="00617DAB"/>
    <w:rsid w:val="00622755"/>
    <w:rsid w:val="0062443B"/>
    <w:rsid w:val="006255D1"/>
    <w:rsid w:val="006302D3"/>
    <w:rsid w:val="00630531"/>
    <w:rsid w:val="00630D56"/>
    <w:rsid w:val="0063116E"/>
    <w:rsid w:val="00640817"/>
    <w:rsid w:val="00641C2C"/>
    <w:rsid w:val="00642A26"/>
    <w:rsid w:val="00642C07"/>
    <w:rsid w:val="00646C6E"/>
    <w:rsid w:val="00646D1A"/>
    <w:rsid w:val="0064735E"/>
    <w:rsid w:val="00652028"/>
    <w:rsid w:val="00652F58"/>
    <w:rsid w:val="006530BC"/>
    <w:rsid w:val="00653BC0"/>
    <w:rsid w:val="00657CD0"/>
    <w:rsid w:val="0066208C"/>
    <w:rsid w:val="00662CEE"/>
    <w:rsid w:val="006630EB"/>
    <w:rsid w:val="0066409F"/>
    <w:rsid w:val="00664FAD"/>
    <w:rsid w:val="00671BC2"/>
    <w:rsid w:val="00672120"/>
    <w:rsid w:val="00673071"/>
    <w:rsid w:val="00676EE0"/>
    <w:rsid w:val="00684D24"/>
    <w:rsid w:val="00692862"/>
    <w:rsid w:val="00693530"/>
    <w:rsid w:val="00696637"/>
    <w:rsid w:val="006A01BA"/>
    <w:rsid w:val="006A215E"/>
    <w:rsid w:val="006A6999"/>
    <w:rsid w:val="006B07C8"/>
    <w:rsid w:val="006B14CE"/>
    <w:rsid w:val="006B208A"/>
    <w:rsid w:val="006B460B"/>
    <w:rsid w:val="006B613B"/>
    <w:rsid w:val="006B734F"/>
    <w:rsid w:val="006B7645"/>
    <w:rsid w:val="006C20B0"/>
    <w:rsid w:val="006C2188"/>
    <w:rsid w:val="006C2742"/>
    <w:rsid w:val="006C5FF1"/>
    <w:rsid w:val="006C7256"/>
    <w:rsid w:val="006D2B3C"/>
    <w:rsid w:val="006D6829"/>
    <w:rsid w:val="006D6AAF"/>
    <w:rsid w:val="006D7C1F"/>
    <w:rsid w:val="006E0767"/>
    <w:rsid w:val="006E164C"/>
    <w:rsid w:val="006E1803"/>
    <w:rsid w:val="006E2018"/>
    <w:rsid w:val="006E3608"/>
    <w:rsid w:val="006E5AFA"/>
    <w:rsid w:val="006F4BC7"/>
    <w:rsid w:val="006F51EF"/>
    <w:rsid w:val="006F5866"/>
    <w:rsid w:val="00701CD5"/>
    <w:rsid w:val="007032B0"/>
    <w:rsid w:val="007036D9"/>
    <w:rsid w:val="00703F42"/>
    <w:rsid w:val="00705AC8"/>
    <w:rsid w:val="0070735F"/>
    <w:rsid w:val="00710894"/>
    <w:rsid w:val="0071121D"/>
    <w:rsid w:val="00712176"/>
    <w:rsid w:val="00713841"/>
    <w:rsid w:val="007142C2"/>
    <w:rsid w:val="00714E7A"/>
    <w:rsid w:val="00716418"/>
    <w:rsid w:val="00717EE7"/>
    <w:rsid w:val="0072073C"/>
    <w:rsid w:val="00722902"/>
    <w:rsid w:val="00722F2B"/>
    <w:rsid w:val="00723708"/>
    <w:rsid w:val="00724185"/>
    <w:rsid w:val="007244D2"/>
    <w:rsid w:val="007259C0"/>
    <w:rsid w:val="00727A8A"/>
    <w:rsid w:val="0073183E"/>
    <w:rsid w:val="007328BF"/>
    <w:rsid w:val="00733214"/>
    <w:rsid w:val="00733B64"/>
    <w:rsid w:val="00737431"/>
    <w:rsid w:val="00737B8C"/>
    <w:rsid w:val="0074104E"/>
    <w:rsid w:val="007435BE"/>
    <w:rsid w:val="007469F3"/>
    <w:rsid w:val="00746B9C"/>
    <w:rsid w:val="00747850"/>
    <w:rsid w:val="00747F7A"/>
    <w:rsid w:val="00750719"/>
    <w:rsid w:val="0075093E"/>
    <w:rsid w:val="00751B51"/>
    <w:rsid w:val="0075243F"/>
    <w:rsid w:val="007533B5"/>
    <w:rsid w:val="0075431D"/>
    <w:rsid w:val="0075497E"/>
    <w:rsid w:val="007557F0"/>
    <w:rsid w:val="0075685F"/>
    <w:rsid w:val="00760AF7"/>
    <w:rsid w:val="007615B1"/>
    <w:rsid w:val="007632B2"/>
    <w:rsid w:val="00765F36"/>
    <w:rsid w:val="00766C99"/>
    <w:rsid w:val="00767F6E"/>
    <w:rsid w:val="00770177"/>
    <w:rsid w:val="00773F79"/>
    <w:rsid w:val="00774D41"/>
    <w:rsid w:val="00776B66"/>
    <w:rsid w:val="00776F89"/>
    <w:rsid w:val="00777B80"/>
    <w:rsid w:val="0078318E"/>
    <w:rsid w:val="007833F4"/>
    <w:rsid w:val="0078662E"/>
    <w:rsid w:val="00786884"/>
    <w:rsid w:val="00790A47"/>
    <w:rsid w:val="007910D9"/>
    <w:rsid w:val="007947B3"/>
    <w:rsid w:val="00795E1D"/>
    <w:rsid w:val="00797156"/>
    <w:rsid w:val="00797797"/>
    <w:rsid w:val="007A1124"/>
    <w:rsid w:val="007A1199"/>
    <w:rsid w:val="007A2C64"/>
    <w:rsid w:val="007A7FA0"/>
    <w:rsid w:val="007B075D"/>
    <w:rsid w:val="007B0D9D"/>
    <w:rsid w:val="007B1343"/>
    <w:rsid w:val="007B16C1"/>
    <w:rsid w:val="007B2362"/>
    <w:rsid w:val="007B31B7"/>
    <w:rsid w:val="007B5B55"/>
    <w:rsid w:val="007B6C49"/>
    <w:rsid w:val="007B79A8"/>
    <w:rsid w:val="007B7A05"/>
    <w:rsid w:val="007C0090"/>
    <w:rsid w:val="007C13D9"/>
    <w:rsid w:val="007C2358"/>
    <w:rsid w:val="007C26E2"/>
    <w:rsid w:val="007C7A69"/>
    <w:rsid w:val="007D3BE9"/>
    <w:rsid w:val="007D4944"/>
    <w:rsid w:val="007D6905"/>
    <w:rsid w:val="007D73E7"/>
    <w:rsid w:val="007E07EB"/>
    <w:rsid w:val="007E2C60"/>
    <w:rsid w:val="007E3454"/>
    <w:rsid w:val="007E3CD7"/>
    <w:rsid w:val="007E414B"/>
    <w:rsid w:val="007E52FB"/>
    <w:rsid w:val="007E75CB"/>
    <w:rsid w:val="007F1CD0"/>
    <w:rsid w:val="007F6036"/>
    <w:rsid w:val="008018F0"/>
    <w:rsid w:val="0080202D"/>
    <w:rsid w:val="00803341"/>
    <w:rsid w:val="00803A49"/>
    <w:rsid w:val="008041F0"/>
    <w:rsid w:val="00811320"/>
    <w:rsid w:val="00814CD5"/>
    <w:rsid w:val="00815660"/>
    <w:rsid w:val="0081754B"/>
    <w:rsid w:val="00821525"/>
    <w:rsid w:val="0082170B"/>
    <w:rsid w:val="008219B7"/>
    <w:rsid w:val="00821AB1"/>
    <w:rsid w:val="00821F7F"/>
    <w:rsid w:val="0082202B"/>
    <w:rsid w:val="008252EC"/>
    <w:rsid w:val="008266D4"/>
    <w:rsid w:val="00826E23"/>
    <w:rsid w:val="00830CA7"/>
    <w:rsid w:val="00835076"/>
    <w:rsid w:val="0083607F"/>
    <w:rsid w:val="0083658C"/>
    <w:rsid w:val="00836C13"/>
    <w:rsid w:val="0084323B"/>
    <w:rsid w:val="00844D95"/>
    <w:rsid w:val="0084511B"/>
    <w:rsid w:val="00846479"/>
    <w:rsid w:val="00847CEB"/>
    <w:rsid w:val="00850AEB"/>
    <w:rsid w:val="008518AA"/>
    <w:rsid w:val="008521AF"/>
    <w:rsid w:val="00852D9B"/>
    <w:rsid w:val="00852EFB"/>
    <w:rsid w:val="008549B1"/>
    <w:rsid w:val="00857872"/>
    <w:rsid w:val="008620D2"/>
    <w:rsid w:val="008621D8"/>
    <w:rsid w:val="00863994"/>
    <w:rsid w:val="008674CA"/>
    <w:rsid w:val="0087171B"/>
    <w:rsid w:val="008725D8"/>
    <w:rsid w:val="00873845"/>
    <w:rsid w:val="00874126"/>
    <w:rsid w:val="008762E5"/>
    <w:rsid w:val="00876862"/>
    <w:rsid w:val="00876C0C"/>
    <w:rsid w:val="008813E8"/>
    <w:rsid w:val="0088576E"/>
    <w:rsid w:val="00885D3E"/>
    <w:rsid w:val="00890668"/>
    <w:rsid w:val="0089181F"/>
    <w:rsid w:val="008955D1"/>
    <w:rsid w:val="0089737F"/>
    <w:rsid w:val="00897728"/>
    <w:rsid w:val="0089773B"/>
    <w:rsid w:val="00897B53"/>
    <w:rsid w:val="008A199E"/>
    <w:rsid w:val="008A30BD"/>
    <w:rsid w:val="008A4C3C"/>
    <w:rsid w:val="008A5E47"/>
    <w:rsid w:val="008B47D2"/>
    <w:rsid w:val="008B7D32"/>
    <w:rsid w:val="008C2E00"/>
    <w:rsid w:val="008C30FE"/>
    <w:rsid w:val="008C79B9"/>
    <w:rsid w:val="008D104C"/>
    <w:rsid w:val="008D28BB"/>
    <w:rsid w:val="008D637C"/>
    <w:rsid w:val="008D6B7F"/>
    <w:rsid w:val="008E2911"/>
    <w:rsid w:val="008E510F"/>
    <w:rsid w:val="008E6977"/>
    <w:rsid w:val="008E6F3A"/>
    <w:rsid w:val="008E7CD9"/>
    <w:rsid w:val="008F0902"/>
    <w:rsid w:val="008F0FB9"/>
    <w:rsid w:val="008F107B"/>
    <w:rsid w:val="008F13F3"/>
    <w:rsid w:val="008F363A"/>
    <w:rsid w:val="008F6C2E"/>
    <w:rsid w:val="008F6D4A"/>
    <w:rsid w:val="0090020C"/>
    <w:rsid w:val="009030BD"/>
    <w:rsid w:val="00904A11"/>
    <w:rsid w:val="0090715A"/>
    <w:rsid w:val="00910521"/>
    <w:rsid w:val="009112E9"/>
    <w:rsid w:val="0091417E"/>
    <w:rsid w:val="009145F7"/>
    <w:rsid w:val="00914948"/>
    <w:rsid w:val="0091498F"/>
    <w:rsid w:val="00915020"/>
    <w:rsid w:val="00916719"/>
    <w:rsid w:val="00916F83"/>
    <w:rsid w:val="00921BAA"/>
    <w:rsid w:val="00925B30"/>
    <w:rsid w:val="00926794"/>
    <w:rsid w:val="00926DD6"/>
    <w:rsid w:val="00931382"/>
    <w:rsid w:val="00931F48"/>
    <w:rsid w:val="009342B7"/>
    <w:rsid w:val="0093530D"/>
    <w:rsid w:val="009371E0"/>
    <w:rsid w:val="00937B66"/>
    <w:rsid w:val="00940E1F"/>
    <w:rsid w:val="009410CC"/>
    <w:rsid w:val="00944A6A"/>
    <w:rsid w:val="00945E2D"/>
    <w:rsid w:val="00953424"/>
    <w:rsid w:val="009613CC"/>
    <w:rsid w:val="00961A32"/>
    <w:rsid w:val="00961EEB"/>
    <w:rsid w:val="00963551"/>
    <w:rsid w:val="00964406"/>
    <w:rsid w:val="00965EF4"/>
    <w:rsid w:val="0096660A"/>
    <w:rsid w:val="00970B04"/>
    <w:rsid w:val="00980E20"/>
    <w:rsid w:val="009820CC"/>
    <w:rsid w:val="009832A3"/>
    <w:rsid w:val="00984103"/>
    <w:rsid w:val="009865F4"/>
    <w:rsid w:val="00991C57"/>
    <w:rsid w:val="009922DF"/>
    <w:rsid w:val="0099231C"/>
    <w:rsid w:val="009931F2"/>
    <w:rsid w:val="00995492"/>
    <w:rsid w:val="009A1CA4"/>
    <w:rsid w:val="009A23A2"/>
    <w:rsid w:val="009A3BB4"/>
    <w:rsid w:val="009A64A7"/>
    <w:rsid w:val="009A77B9"/>
    <w:rsid w:val="009B01CB"/>
    <w:rsid w:val="009B239B"/>
    <w:rsid w:val="009B23C2"/>
    <w:rsid w:val="009B5A43"/>
    <w:rsid w:val="009C07BF"/>
    <w:rsid w:val="009C2879"/>
    <w:rsid w:val="009C4590"/>
    <w:rsid w:val="009C5F7D"/>
    <w:rsid w:val="009D2A52"/>
    <w:rsid w:val="009D4283"/>
    <w:rsid w:val="009E1861"/>
    <w:rsid w:val="009E2979"/>
    <w:rsid w:val="009E60D3"/>
    <w:rsid w:val="009E74D8"/>
    <w:rsid w:val="009E7D66"/>
    <w:rsid w:val="009F088C"/>
    <w:rsid w:val="009F415E"/>
    <w:rsid w:val="009F6D81"/>
    <w:rsid w:val="009F7242"/>
    <w:rsid w:val="00A00CC1"/>
    <w:rsid w:val="00A036E7"/>
    <w:rsid w:val="00A10DA0"/>
    <w:rsid w:val="00A12224"/>
    <w:rsid w:val="00A156D5"/>
    <w:rsid w:val="00A1635E"/>
    <w:rsid w:val="00A1652B"/>
    <w:rsid w:val="00A167E9"/>
    <w:rsid w:val="00A171B4"/>
    <w:rsid w:val="00A26D5A"/>
    <w:rsid w:val="00A321DD"/>
    <w:rsid w:val="00A41AE1"/>
    <w:rsid w:val="00A425A4"/>
    <w:rsid w:val="00A4291F"/>
    <w:rsid w:val="00A443E6"/>
    <w:rsid w:val="00A44567"/>
    <w:rsid w:val="00A44F8C"/>
    <w:rsid w:val="00A45342"/>
    <w:rsid w:val="00A475A5"/>
    <w:rsid w:val="00A47D82"/>
    <w:rsid w:val="00A50B18"/>
    <w:rsid w:val="00A514BD"/>
    <w:rsid w:val="00A54EB8"/>
    <w:rsid w:val="00A62AC0"/>
    <w:rsid w:val="00A650B7"/>
    <w:rsid w:val="00A7171A"/>
    <w:rsid w:val="00A733B3"/>
    <w:rsid w:val="00A734DC"/>
    <w:rsid w:val="00A7709D"/>
    <w:rsid w:val="00A80A62"/>
    <w:rsid w:val="00A82E01"/>
    <w:rsid w:val="00A92333"/>
    <w:rsid w:val="00A93303"/>
    <w:rsid w:val="00A9372A"/>
    <w:rsid w:val="00A938C0"/>
    <w:rsid w:val="00A952E3"/>
    <w:rsid w:val="00AA0613"/>
    <w:rsid w:val="00AA289C"/>
    <w:rsid w:val="00AA34AF"/>
    <w:rsid w:val="00AA36AB"/>
    <w:rsid w:val="00AA4055"/>
    <w:rsid w:val="00AA4CE3"/>
    <w:rsid w:val="00AB31EE"/>
    <w:rsid w:val="00AB5C13"/>
    <w:rsid w:val="00AB770C"/>
    <w:rsid w:val="00AC07B3"/>
    <w:rsid w:val="00AC0EEB"/>
    <w:rsid w:val="00AC3170"/>
    <w:rsid w:val="00AC6292"/>
    <w:rsid w:val="00AC7722"/>
    <w:rsid w:val="00AC7CFC"/>
    <w:rsid w:val="00AD0693"/>
    <w:rsid w:val="00AD09AC"/>
    <w:rsid w:val="00AD1024"/>
    <w:rsid w:val="00AD4221"/>
    <w:rsid w:val="00AD503A"/>
    <w:rsid w:val="00AD5051"/>
    <w:rsid w:val="00AE1DD1"/>
    <w:rsid w:val="00AE3061"/>
    <w:rsid w:val="00AE5350"/>
    <w:rsid w:val="00AE7A30"/>
    <w:rsid w:val="00AF164F"/>
    <w:rsid w:val="00AF171F"/>
    <w:rsid w:val="00AF183B"/>
    <w:rsid w:val="00AF1943"/>
    <w:rsid w:val="00AF2A02"/>
    <w:rsid w:val="00AF608A"/>
    <w:rsid w:val="00AF7C6F"/>
    <w:rsid w:val="00B0419B"/>
    <w:rsid w:val="00B0441D"/>
    <w:rsid w:val="00B052A8"/>
    <w:rsid w:val="00B058B9"/>
    <w:rsid w:val="00B11030"/>
    <w:rsid w:val="00B148B5"/>
    <w:rsid w:val="00B16747"/>
    <w:rsid w:val="00B17059"/>
    <w:rsid w:val="00B1760B"/>
    <w:rsid w:val="00B17D66"/>
    <w:rsid w:val="00B20ABD"/>
    <w:rsid w:val="00B276F0"/>
    <w:rsid w:val="00B27813"/>
    <w:rsid w:val="00B34E55"/>
    <w:rsid w:val="00B36A6C"/>
    <w:rsid w:val="00B401D0"/>
    <w:rsid w:val="00B40D32"/>
    <w:rsid w:val="00B41FA6"/>
    <w:rsid w:val="00B42DCA"/>
    <w:rsid w:val="00B445FD"/>
    <w:rsid w:val="00B451BC"/>
    <w:rsid w:val="00B4524B"/>
    <w:rsid w:val="00B57432"/>
    <w:rsid w:val="00B60A29"/>
    <w:rsid w:val="00B63099"/>
    <w:rsid w:val="00B63B3F"/>
    <w:rsid w:val="00B645DE"/>
    <w:rsid w:val="00B64670"/>
    <w:rsid w:val="00B66A7C"/>
    <w:rsid w:val="00B67C2C"/>
    <w:rsid w:val="00B70B2B"/>
    <w:rsid w:val="00B7407E"/>
    <w:rsid w:val="00B76CBE"/>
    <w:rsid w:val="00B7721D"/>
    <w:rsid w:val="00B77F6B"/>
    <w:rsid w:val="00B8034D"/>
    <w:rsid w:val="00B80497"/>
    <w:rsid w:val="00B81C9F"/>
    <w:rsid w:val="00B84536"/>
    <w:rsid w:val="00B84C27"/>
    <w:rsid w:val="00B84C87"/>
    <w:rsid w:val="00B86623"/>
    <w:rsid w:val="00B87199"/>
    <w:rsid w:val="00B876DA"/>
    <w:rsid w:val="00B878F8"/>
    <w:rsid w:val="00B90564"/>
    <w:rsid w:val="00B9070F"/>
    <w:rsid w:val="00B920F5"/>
    <w:rsid w:val="00B94941"/>
    <w:rsid w:val="00B96841"/>
    <w:rsid w:val="00B975F4"/>
    <w:rsid w:val="00BA093C"/>
    <w:rsid w:val="00BA3EA6"/>
    <w:rsid w:val="00BA4766"/>
    <w:rsid w:val="00BB00B4"/>
    <w:rsid w:val="00BB3A66"/>
    <w:rsid w:val="00BC1BB1"/>
    <w:rsid w:val="00BC2071"/>
    <w:rsid w:val="00BC20E7"/>
    <w:rsid w:val="00BC22A5"/>
    <w:rsid w:val="00BC7CA4"/>
    <w:rsid w:val="00BD11AA"/>
    <w:rsid w:val="00BD2D61"/>
    <w:rsid w:val="00BD2DD7"/>
    <w:rsid w:val="00BD3C09"/>
    <w:rsid w:val="00BD4FDA"/>
    <w:rsid w:val="00BE068B"/>
    <w:rsid w:val="00BE0D66"/>
    <w:rsid w:val="00BE1712"/>
    <w:rsid w:val="00BE33E6"/>
    <w:rsid w:val="00BE5001"/>
    <w:rsid w:val="00BE5B58"/>
    <w:rsid w:val="00BE6942"/>
    <w:rsid w:val="00BE72E6"/>
    <w:rsid w:val="00BF1028"/>
    <w:rsid w:val="00BF1C2C"/>
    <w:rsid w:val="00BF6A7B"/>
    <w:rsid w:val="00BF75E8"/>
    <w:rsid w:val="00C0194F"/>
    <w:rsid w:val="00C04FA1"/>
    <w:rsid w:val="00C11CB2"/>
    <w:rsid w:val="00C126C3"/>
    <w:rsid w:val="00C1322E"/>
    <w:rsid w:val="00C14579"/>
    <w:rsid w:val="00C16940"/>
    <w:rsid w:val="00C17F8D"/>
    <w:rsid w:val="00C21302"/>
    <w:rsid w:val="00C21737"/>
    <w:rsid w:val="00C234CF"/>
    <w:rsid w:val="00C23924"/>
    <w:rsid w:val="00C259B5"/>
    <w:rsid w:val="00C30BDB"/>
    <w:rsid w:val="00C33B89"/>
    <w:rsid w:val="00C3628C"/>
    <w:rsid w:val="00C36E59"/>
    <w:rsid w:val="00C400FF"/>
    <w:rsid w:val="00C41170"/>
    <w:rsid w:val="00C417A6"/>
    <w:rsid w:val="00C42BEB"/>
    <w:rsid w:val="00C4316C"/>
    <w:rsid w:val="00C461D9"/>
    <w:rsid w:val="00C5047B"/>
    <w:rsid w:val="00C50AA2"/>
    <w:rsid w:val="00C51483"/>
    <w:rsid w:val="00C52DC5"/>
    <w:rsid w:val="00C53B74"/>
    <w:rsid w:val="00C54A72"/>
    <w:rsid w:val="00C55CB0"/>
    <w:rsid w:val="00C563D6"/>
    <w:rsid w:val="00C56ECE"/>
    <w:rsid w:val="00C61DDE"/>
    <w:rsid w:val="00C65913"/>
    <w:rsid w:val="00C679C8"/>
    <w:rsid w:val="00C71417"/>
    <w:rsid w:val="00C75496"/>
    <w:rsid w:val="00C7558D"/>
    <w:rsid w:val="00C7669E"/>
    <w:rsid w:val="00C77F62"/>
    <w:rsid w:val="00C849E1"/>
    <w:rsid w:val="00C92CE3"/>
    <w:rsid w:val="00C94161"/>
    <w:rsid w:val="00C9444F"/>
    <w:rsid w:val="00CA0B4B"/>
    <w:rsid w:val="00CA22BB"/>
    <w:rsid w:val="00CA2DB3"/>
    <w:rsid w:val="00CA3F0D"/>
    <w:rsid w:val="00CA6BEF"/>
    <w:rsid w:val="00CA6C02"/>
    <w:rsid w:val="00CA7989"/>
    <w:rsid w:val="00CB02DD"/>
    <w:rsid w:val="00CB0776"/>
    <w:rsid w:val="00CB4723"/>
    <w:rsid w:val="00CB4BBE"/>
    <w:rsid w:val="00CB5776"/>
    <w:rsid w:val="00CB59AC"/>
    <w:rsid w:val="00CB6C36"/>
    <w:rsid w:val="00CB74EC"/>
    <w:rsid w:val="00CB7C98"/>
    <w:rsid w:val="00CC03FF"/>
    <w:rsid w:val="00CC32E3"/>
    <w:rsid w:val="00CC5B85"/>
    <w:rsid w:val="00CC6E10"/>
    <w:rsid w:val="00CD47F5"/>
    <w:rsid w:val="00CD5DC0"/>
    <w:rsid w:val="00CD6596"/>
    <w:rsid w:val="00CD7C42"/>
    <w:rsid w:val="00CE1F4B"/>
    <w:rsid w:val="00CE3F91"/>
    <w:rsid w:val="00CE57E0"/>
    <w:rsid w:val="00CE783B"/>
    <w:rsid w:val="00CF0C75"/>
    <w:rsid w:val="00CF187F"/>
    <w:rsid w:val="00CF1C63"/>
    <w:rsid w:val="00CF2644"/>
    <w:rsid w:val="00CF356B"/>
    <w:rsid w:val="00CF45B7"/>
    <w:rsid w:val="00CF5E63"/>
    <w:rsid w:val="00CF7CAC"/>
    <w:rsid w:val="00D02CCA"/>
    <w:rsid w:val="00D04F5D"/>
    <w:rsid w:val="00D05132"/>
    <w:rsid w:val="00D054CD"/>
    <w:rsid w:val="00D06F3D"/>
    <w:rsid w:val="00D07712"/>
    <w:rsid w:val="00D129B8"/>
    <w:rsid w:val="00D13583"/>
    <w:rsid w:val="00D160F4"/>
    <w:rsid w:val="00D20249"/>
    <w:rsid w:val="00D22556"/>
    <w:rsid w:val="00D22F6E"/>
    <w:rsid w:val="00D23A1E"/>
    <w:rsid w:val="00D33A67"/>
    <w:rsid w:val="00D34A13"/>
    <w:rsid w:val="00D362CA"/>
    <w:rsid w:val="00D363BF"/>
    <w:rsid w:val="00D41785"/>
    <w:rsid w:val="00D42FAE"/>
    <w:rsid w:val="00D4739E"/>
    <w:rsid w:val="00D512C0"/>
    <w:rsid w:val="00D5157A"/>
    <w:rsid w:val="00D52CD9"/>
    <w:rsid w:val="00D52DB0"/>
    <w:rsid w:val="00D55CAD"/>
    <w:rsid w:val="00D55CC1"/>
    <w:rsid w:val="00D57151"/>
    <w:rsid w:val="00D60135"/>
    <w:rsid w:val="00D60563"/>
    <w:rsid w:val="00D624D0"/>
    <w:rsid w:val="00D62717"/>
    <w:rsid w:val="00D66F2F"/>
    <w:rsid w:val="00D6751C"/>
    <w:rsid w:val="00D73121"/>
    <w:rsid w:val="00D75A0C"/>
    <w:rsid w:val="00D7609E"/>
    <w:rsid w:val="00D81A30"/>
    <w:rsid w:val="00D833A4"/>
    <w:rsid w:val="00D848DC"/>
    <w:rsid w:val="00D8791D"/>
    <w:rsid w:val="00D90702"/>
    <w:rsid w:val="00D92F2F"/>
    <w:rsid w:val="00D948DA"/>
    <w:rsid w:val="00D94F95"/>
    <w:rsid w:val="00DA0D74"/>
    <w:rsid w:val="00DA2B54"/>
    <w:rsid w:val="00DA31C2"/>
    <w:rsid w:val="00DA407A"/>
    <w:rsid w:val="00DA4BC8"/>
    <w:rsid w:val="00DA59D5"/>
    <w:rsid w:val="00DA59EB"/>
    <w:rsid w:val="00DB0CCE"/>
    <w:rsid w:val="00DB104C"/>
    <w:rsid w:val="00DB157C"/>
    <w:rsid w:val="00DB4473"/>
    <w:rsid w:val="00DB5B3D"/>
    <w:rsid w:val="00DB645D"/>
    <w:rsid w:val="00DB7DD2"/>
    <w:rsid w:val="00DC1736"/>
    <w:rsid w:val="00DC3ED7"/>
    <w:rsid w:val="00DC52BB"/>
    <w:rsid w:val="00DC7687"/>
    <w:rsid w:val="00DD2E0F"/>
    <w:rsid w:val="00DD3AE8"/>
    <w:rsid w:val="00DD47A4"/>
    <w:rsid w:val="00DD6E7F"/>
    <w:rsid w:val="00DE2C04"/>
    <w:rsid w:val="00DF163E"/>
    <w:rsid w:val="00DF248B"/>
    <w:rsid w:val="00DF5BBE"/>
    <w:rsid w:val="00DF6057"/>
    <w:rsid w:val="00DF7043"/>
    <w:rsid w:val="00DF759F"/>
    <w:rsid w:val="00E0157C"/>
    <w:rsid w:val="00E01D57"/>
    <w:rsid w:val="00E035D5"/>
    <w:rsid w:val="00E048F3"/>
    <w:rsid w:val="00E07B36"/>
    <w:rsid w:val="00E124B1"/>
    <w:rsid w:val="00E14B1F"/>
    <w:rsid w:val="00E14D9B"/>
    <w:rsid w:val="00E14EFD"/>
    <w:rsid w:val="00E21685"/>
    <w:rsid w:val="00E21AD6"/>
    <w:rsid w:val="00E21C86"/>
    <w:rsid w:val="00E22ECE"/>
    <w:rsid w:val="00E23A54"/>
    <w:rsid w:val="00E30D3A"/>
    <w:rsid w:val="00E36DAF"/>
    <w:rsid w:val="00E3747D"/>
    <w:rsid w:val="00E41071"/>
    <w:rsid w:val="00E41B10"/>
    <w:rsid w:val="00E43150"/>
    <w:rsid w:val="00E43732"/>
    <w:rsid w:val="00E4516E"/>
    <w:rsid w:val="00E4650C"/>
    <w:rsid w:val="00E5028E"/>
    <w:rsid w:val="00E503B0"/>
    <w:rsid w:val="00E56974"/>
    <w:rsid w:val="00E605D4"/>
    <w:rsid w:val="00E6078B"/>
    <w:rsid w:val="00E624EF"/>
    <w:rsid w:val="00E6255B"/>
    <w:rsid w:val="00E630F8"/>
    <w:rsid w:val="00E63A28"/>
    <w:rsid w:val="00E64C0B"/>
    <w:rsid w:val="00E662AB"/>
    <w:rsid w:val="00E672A6"/>
    <w:rsid w:val="00E715BB"/>
    <w:rsid w:val="00E762E4"/>
    <w:rsid w:val="00E779D3"/>
    <w:rsid w:val="00E8115A"/>
    <w:rsid w:val="00E852D2"/>
    <w:rsid w:val="00E854B7"/>
    <w:rsid w:val="00E87BDD"/>
    <w:rsid w:val="00E90656"/>
    <w:rsid w:val="00E91974"/>
    <w:rsid w:val="00E937A5"/>
    <w:rsid w:val="00E95615"/>
    <w:rsid w:val="00E96772"/>
    <w:rsid w:val="00E96A5C"/>
    <w:rsid w:val="00EA1A12"/>
    <w:rsid w:val="00EA21BA"/>
    <w:rsid w:val="00EA3D25"/>
    <w:rsid w:val="00EA5BEC"/>
    <w:rsid w:val="00EB0DB8"/>
    <w:rsid w:val="00EB45CF"/>
    <w:rsid w:val="00EB49FC"/>
    <w:rsid w:val="00EB7FE5"/>
    <w:rsid w:val="00EC29D4"/>
    <w:rsid w:val="00EC2CC9"/>
    <w:rsid w:val="00EC37B1"/>
    <w:rsid w:val="00EC401B"/>
    <w:rsid w:val="00EC6643"/>
    <w:rsid w:val="00EC6B63"/>
    <w:rsid w:val="00EC727C"/>
    <w:rsid w:val="00ED1BD6"/>
    <w:rsid w:val="00ED2B2E"/>
    <w:rsid w:val="00ED3837"/>
    <w:rsid w:val="00ED4395"/>
    <w:rsid w:val="00ED56FE"/>
    <w:rsid w:val="00ED64C5"/>
    <w:rsid w:val="00EE06AE"/>
    <w:rsid w:val="00EE076D"/>
    <w:rsid w:val="00EE3831"/>
    <w:rsid w:val="00EE38E5"/>
    <w:rsid w:val="00EE56E6"/>
    <w:rsid w:val="00EF01F3"/>
    <w:rsid w:val="00EF2AEA"/>
    <w:rsid w:val="00EF536D"/>
    <w:rsid w:val="00EF5445"/>
    <w:rsid w:val="00EF6515"/>
    <w:rsid w:val="00EF789F"/>
    <w:rsid w:val="00F027C4"/>
    <w:rsid w:val="00F04954"/>
    <w:rsid w:val="00F0674E"/>
    <w:rsid w:val="00F070BA"/>
    <w:rsid w:val="00F119B3"/>
    <w:rsid w:val="00F12D8D"/>
    <w:rsid w:val="00F13D25"/>
    <w:rsid w:val="00F1463A"/>
    <w:rsid w:val="00F14767"/>
    <w:rsid w:val="00F16079"/>
    <w:rsid w:val="00F16576"/>
    <w:rsid w:val="00F169CE"/>
    <w:rsid w:val="00F17C16"/>
    <w:rsid w:val="00F201C4"/>
    <w:rsid w:val="00F2238E"/>
    <w:rsid w:val="00F24A60"/>
    <w:rsid w:val="00F26766"/>
    <w:rsid w:val="00F3217A"/>
    <w:rsid w:val="00F32494"/>
    <w:rsid w:val="00F32E77"/>
    <w:rsid w:val="00F330BB"/>
    <w:rsid w:val="00F355F6"/>
    <w:rsid w:val="00F356F1"/>
    <w:rsid w:val="00F363A5"/>
    <w:rsid w:val="00F37692"/>
    <w:rsid w:val="00F378D9"/>
    <w:rsid w:val="00F41E35"/>
    <w:rsid w:val="00F46CDC"/>
    <w:rsid w:val="00F47B3E"/>
    <w:rsid w:val="00F50198"/>
    <w:rsid w:val="00F506C6"/>
    <w:rsid w:val="00F51F43"/>
    <w:rsid w:val="00F5228C"/>
    <w:rsid w:val="00F561EB"/>
    <w:rsid w:val="00F56575"/>
    <w:rsid w:val="00F6288B"/>
    <w:rsid w:val="00F66183"/>
    <w:rsid w:val="00F66845"/>
    <w:rsid w:val="00F67734"/>
    <w:rsid w:val="00F70338"/>
    <w:rsid w:val="00F71F49"/>
    <w:rsid w:val="00F73504"/>
    <w:rsid w:val="00F77168"/>
    <w:rsid w:val="00F77551"/>
    <w:rsid w:val="00F8093B"/>
    <w:rsid w:val="00F825D2"/>
    <w:rsid w:val="00F85519"/>
    <w:rsid w:val="00F86451"/>
    <w:rsid w:val="00F8749B"/>
    <w:rsid w:val="00F9075D"/>
    <w:rsid w:val="00F92138"/>
    <w:rsid w:val="00F924C2"/>
    <w:rsid w:val="00F92E2A"/>
    <w:rsid w:val="00F93ACF"/>
    <w:rsid w:val="00F94378"/>
    <w:rsid w:val="00F94464"/>
    <w:rsid w:val="00FA1108"/>
    <w:rsid w:val="00FA25D8"/>
    <w:rsid w:val="00FB0C74"/>
    <w:rsid w:val="00FB1257"/>
    <w:rsid w:val="00FB1E51"/>
    <w:rsid w:val="00FB1F25"/>
    <w:rsid w:val="00FB22CE"/>
    <w:rsid w:val="00FB5606"/>
    <w:rsid w:val="00FB65B0"/>
    <w:rsid w:val="00FB6E12"/>
    <w:rsid w:val="00FB79F2"/>
    <w:rsid w:val="00FC007F"/>
    <w:rsid w:val="00FC0B70"/>
    <w:rsid w:val="00FC20A2"/>
    <w:rsid w:val="00FC21D3"/>
    <w:rsid w:val="00FC3103"/>
    <w:rsid w:val="00FC3353"/>
    <w:rsid w:val="00FC3802"/>
    <w:rsid w:val="00FC3BF3"/>
    <w:rsid w:val="00FC4505"/>
    <w:rsid w:val="00FD437E"/>
    <w:rsid w:val="00FD54A6"/>
    <w:rsid w:val="00FD5A56"/>
    <w:rsid w:val="00FD7443"/>
    <w:rsid w:val="00FD7545"/>
    <w:rsid w:val="00FE2E9F"/>
    <w:rsid w:val="00FE46AA"/>
    <w:rsid w:val="00FE5549"/>
    <w:rsid w:val="00FF22AB"/>
    <w:rsid w:val="00FF2898"/>
    <w:rsid w:val="00FF48E5"/>
    <w:rsid w:val="00FF7084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5A2F0E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lang w:val="en-GB" w:eastAsia="ja-JP"/>
    </w:rPr>
  </w:style>
  <w:style w:type="character" w:customStyle="1" w:styleId="THChar">
    <w:name w:val="TH Char"/>
    <w:link w:val="TH"/>
    <w:qFormat/>
    <w:rsid w:val="005A2F0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A2F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5A2F0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styleId="CommentReference">
    <w:name w:val="annotation reference"/>
    <w:qFormat/>
    <w:rsid w:val="005A2F0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A2F0E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2F0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0E"/>
    <w:rPr>
      <w:rFonts w:ascii="Segoe UI" w:hAnsi="Segoe UI" w:cs="Segoe UI"/>
      <w:sz w:val="18"/>
      <w:szCs w:val="18"/>
      <w:lang w:eastAsia="zh-CN"/>
    </w:rPr>
  </w:style>
  <w:style w:type="paragraph" w:customStyle="1" w:styleId="EditorsNote">
    <w:name w:val="Editor's Note"/>
    <w:basedOn w:val="Normal"/>
    <w:link w:val="EditorsNoteChar"/>
    <w:qFormat/>
    <w:rsid w:val="009A3BB4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9A3BB4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01CD5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14CE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4CE"/>
    <w:rPr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244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D033-77B1-4753-B0E1-A344971C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543</cp:revision>
  <dcterms:created xsi:type="dcterms:W3CDTF">2022-08-09T09:41:00Z</dcterms:created>
  <dcterms:modified xsi:type="dcterms:W3CDTF">2023-05-12T04:57:00Z</dcterms:modified>
</cp:coreProperties>
</file>